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F39" w:rsidRDefault="001B1F39" w:rsidP="001B1F39">
      <w:pPr>
        <w:spacing w:after="0" w:line="240" w:lineRule="auto"/>
        <w:jc w:val="both"/>
        <w:rPr>
          <w:b/>
          <w:sz w:val="24"/>
          <w:szCs w:val="24"/>
          <w:lang w:val="en-US"/>
        </w:rPr>
      </w:pPr>
      <w: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25pt;height:83.5pt" o:ole="" filled="t">
            <v:fill color2="black"/>
            <v:imagedata r:id="rId4" o:title=""/>
          </v:shape>
          <o:OLEObject Type="Embed" ProgID="Εικόνα" ShapeID="_x0000_i1025" DrawAspect="Content" ObjectID="_1662798460" r:id="rId5"/>
        </w:object>
      </w:r>
      <w:r>
        <w:t xml:space="preserve"> </w:t>
      </w:r>
    </w:p>
    <w:tbl>
      <w:tblPr>
        <w:tblW w:w="8949" w:type="dxa"/>
        <w:tblLook w:val="01E0"/>
      </w:tblPr>
      <w:tblGrid>
        <w:gridCol w:w="8949"/>
      </w:tblGrid>
      <w:tr w:rsidR="001B1F39" w:rsidTr="001B1F39">
        <w:trPr>
          <w:trHeight w:val="157"/>
        </w:trPr>
        <w:tc>
          <w:tcPr>
            <w:tcW w:w="8949" w:type="dxa"/>
            <w:hideMark/>
          </w:tcPr>
          <w:p w:rsidR="001B1F39" w:rsidRDefault="001B1F39">
            <w:pPr>
              <w:spacing w:line="240" w:lineRule="auto"/>
              <w:rPr>
                <w:rFonts w:asciiTheme="majorHAnsi" w:hAnsiTheme="majorHAnsi" w:cs="Arial"/>
                <w:b/>
                <w:sz w:val="18"/>
                <w:szCs w:val="18"/>
              </w:rPr>
            </w:pPr>
            <w:r>
              <w:rPr>
                <w:rFonts w:asciiTheme="majorHAnsi" w:hAnsiTheme="majorHAnsi" w:cs="Arial"/>
                <w:b/>
                <w:sz w:val="18"/>
                <w:szCs w:val="18"/>
              </w:rPr>
              <w:t>ΕΛΛΗΝΙΚΗ ΔΗΜΟΚΡΑΤΙΑ</w:t>
            </w:r>
          </w:p>
        </w:tc>
      </w:tr>
      <w:tr w:rsidR="001B1F39" w:rsidTr="001B1F39">
        <w:trPr>
          <w:trHeight w:val="148"/>
        </w:trPr>
        <w:tc>
          <w:tcPr>
            <w:tcW w:w="8949" w:type="dxa"/>
            <w:hideMark/>
          </w:tcPr>
          <w:p w:rsidR="001B1F39" w:rsidRDefault="001B1F39">
            <w:pPr>
              <w:spacing w:line="240" w:lineRule="auto"/>
              <w:rPr>
                <w:rFonts w:asciiTheme="majorHAnsi" w:hAnsiTheme="majorHAnsi" w:cs="Arial"/>
                <w:b/>
                <w:sz w:val="18"/>
                <w:szCs w:val="18"/>
              </w:rPr>
            </w:pPr>
            <w:r>
              <w:rPr>
                <w:rFonts w:asciiTheme="majorHAnsi" w:hAnsiTheme="majorHAnsi" w:cs="Arial"/>
                <w:b/>
                <w:sz w:val="18"/>
                <w:szCs w:val="18"/>
              </w:rPr>
              <w:t>ΝΟΜΟΣ ΗΜΑΘΙΑΣ</w:t>
            </w:r>
          </w:p>
        </w:tc>
      </w:tr>
      <w:tr w:rsidR="001B1F39" w:rsidTr="001B1F39">
        <w:trPr>
          <w:trHeight w:val="148"/>
        </w:trPr>
        <w:tc>
          <w:tcPr>
            <w:tcW w:w="8949" w:type="dxa"/>
            <w:hideMark/>
          </w:tcPr>
          <w:p w:rsidR="001B1F39" w:rsidRDefault="001B1F39">
            <w:pPr>
              <w:spacing w:line="240" w:lineRule="auto"/>
              <w:rPr>
                <w:rFonts w:asciiTheme="majorHAnsi" w:hAnsiTheme="majorHAnsi" w:cs="Arial"/>
                <w:b/>
                <w:sz w:val="18"/>
                <w:szCs w:val="18"/>
                <w:lang w:val="en-US"/>
              </w:rPr>
            </w:pPr>
            <w:r>
              <w:rPr>
                <w:rFonts w:asciiTheme="majorHAnsi" w:hAnsiTheme="majorHAnsi" w:cs="Arial"/>
                <w:b/>
                <w:sz w:val="18"/>
                <w:szCs w:val="18"/>
              </w:rPr>
              <w:t>ΔΗΜΟΣ ΗΡΩΙΚΗΣ ΠΟΛΕΩΣ ΝΑΟΥΣΑΣ</w:t>
            </w:r>
          </w:p>
        </w:tc>
      </w:tr>
      <w:tr w:rsidR="001B1F39" w:rsidTr="001B1F39">
        <w:trPr>
          <w:trHeight w:val="157"/>
        </w:trPr>
        <w:tc>
          <w:tcPr>
            <w:tcW w:w="8949" w:type="dxa"/>
            <w:hideMark/>
          </w:tcPr>
          <w:p w:rsidR="001B1F39" w:rsidRDefault="001B1F39">
            <w:pPr>
              <w:spacing w:line="240" w:lineRule="auto"/>
              <w:rPr>
                <w:rFonts w:asciiTheme="majorHAnsi" w:hAnsiTheme="majorHAnsi" w:cs="Arial"/>
                <w:b/>
                <w:sz w:val="20"/>
                <w:szCs w:val="20"/>
              </w:rPr>
            </w:pPr>
            <w:r>
              <w:rPr>
                <w:rFonts w:asciiTheme="majorHAnsi" w:hAnsiTheme="majorHAnsi" w:cs="Arial"/>
                <w:b/>
                <w:sz w:val="20"/>
                <w:szCs w:val="20"/>
              </w:rPr>
              <w:t>ΓΡΑΦΕΙΟ ΔΗΜΑΡΧΟΥ</w:t>
            </w:r>
          </w:p>
        </w:tc>
      </w:tr>
      <w:tr w:rsidR="001B1F39" w:rsidTr="001B1F39">
        <w:trPr>
          <w:trHeight w:val="223"/>
        </w:trPr>
        <w:tc>
          <w:tcPr>
            <w:tcW w:w="8949" w:type="dxa"/>
            <w:hideMark/>
          </w:tcPr>
          <w:p w:rsidR="001B1F39" w:rsidRDefault="001B1F39">
            <w:pPr>
              <w:spacing w:before="120" w:line="240" w:lineRule="auto"/>
              <w:rPr>
                <w:rFonts w:asciiTheme="majorHAnsi" w:hAnsiTheme="majorHAnsi" w:cs="Arial"/>
                <w:sz w:val="18"/>
                <w:szCs w:val="18"/>
              </w:rPr>
            </w:pPr>
            <w:r>
              <w:rPr>
                <w:rFonts w:asciiTheme="majorHAnsi" w:hAnsiTheme="majorHAnsi" w:cs="Arial"/>
                <w:sz w:val="18"/>
                <w:szCs w:val="18"/>
              </w:rPr>
              <w:t xml:space="preserve">  Δ/</w:t>
            </w:r>
            <w:proofErr w:type="spellStart"/>
            <w:r>
              <w:rPr>
                <w:rFonts w:asciiTheme="majorHAnsi" w:hAnsiTheme="majorHAnsi" w:cs="Arial"/>
                <w:sz w:val="18"/>
                <w:szCs w:val="18"/>
              </w:rPr>
              <w:t>νση:</w:t>
            </w:r>
            <w:proofErr w:type="spellEnd"/>
            <w:r>
              <w:rPr>
                <w:rFonts w:asciiTheme="majorHAnsi" w:hAnsiTheme="majorHAnsi" w:cs="Arial"/>
                <w:sz w:val="18"/>
                <w:szCs w:val="18"/>
              </w:rPr>
              <w:t xml:space="preserve"> Δημαρχίας 30, 59 200 Νάουσα</w:t>
            </w:r>
          </w:p>
        </w:tc>
      </w:tr>
      <w:tr w:rsidR="001B1F39" w:rsidTr="001B1F39">
        <w:trPr>
          <w:trHeight w:val="454"/>
        </w:trPr>
        <w:tc>
          <w:tcPr>
            <w:tcW w:w="8949" w:type="dxa"/>
            <w:hideMark/>
          </w:tcPr>
          <w:p w:rsidR="001B1F39" w:rsidRDefault="001B1F39">
            <w:pPr>
              <w:spacing w:line="240" w:lineRule="auto"/>
              <w:rPr>
                <w:rFonts w:asciiTheme="majorHAnsi" w:hAnsiTheme="majorHAnsi" w:cs="Arial"/>
                <w:sz w:val="18"/>
                <w:szCs w:val="18"/>
              </w:rPr>
            </w:pPr>
            <w:r>
              <w:rPr>
                <w:rFonts w:asciiTheme="majorHAnsi" w:hAnsiTheme="majorHAnsi" w:cs="Arial"/>
                <w:sz w:val="18"/>
                <w:szCs w:val="18"/>
              </w:rPr>
              <w:t xml:space="preserve">  </w:t>
            </w:r>
            <w:proofErr w:type="spellStart"/>
            <w:r>
              <w:rPr>
                <w:rFonts w:asciiTheme="majorHAnsi" w:hAnsiTheme="majorHAnsi" w:cs="Arial"/>
                <w:sz w:val="18"/>
                <w:szCs w:val="18"/>
              </w:rPr>
              <w:t>Τηλ</w:t>
            </w:r>
            <w:proofErr w:type="spellEnd"/>
            <w:r>
              <w:rPr>
                <w:rFonts w:asciiTheme="majorHAnsi" w:hAnsiTheme="majorHAnsi" w:cs="Arial"/>
                <w:sz w:val="18"/>
                <w:szCs w:val="18"/>
              </w:rPr>
              <w:t xml:space="preserve">  2332350309     </w:t>
            </w:r>
            <w:r>
              <w:rPr>
                <w:rFonts w:asciiTheme="majorHAnsi" w:hAnsiTheme="majorHAnsi" w:cs="Arial"/>
                <w:sz w:val="18"/>
                <w:szCs w:val="18"/>
                <w:lang w:val="en-US"/>
              </w:rPr>
              <w:t>Fax</w:t>
            </w:r>
            <w:r>
              <w:rPr>
                <w:rFonts w:asciiTheme="majorHAnsi" w:hAnsiTheme="majorHAnsi" w:cs="Arial"/>
                <w:sz w:val="18"/>
                <w:szCs w:val="18"/>
              </w:rPr>
              <w:t>:2332024260</w:t>
            </w:r>
          </w:p>
        </w:tc>
      </w:tr>
      <w:tr w:rsidR="001B1F39" w:rsidTr="001B1F39">
        <w:trPr>
          <w:trHeight w:val="157"/>
        </w:trPr>
        <w:tc>
          <w:tcPr>
            <w:tcW w:w="8949" w:type="dxa"/>
          </w:tcPr>
          <w:p w:rsidR="001B1F39" w:rsidRDefault="001B1F39">
            <w:pPr>
              <w:spacing w:line="240" w:lineRule="auto"/>
              <w:jc w:val="right"/>
              <w:rPr>
                <w:rFonts w:asciiTheme="majorHAnsi" w:hAnsiTheme="majorHAnsi" w:cs="Arial"/>
                <w:sz w:val="18"/>
                <w:szCs w:val="18"/>
              </w:rPr>
            </w:pPr>
          </w:p>
        </w:tc>
      </w:tr>
    </w:tbl>
    <w:p w:rsidR="001B1F39" w:rsidRDefault="001B1F39" w:rsidP="001B1F39">
      <w:pPr>
        <w:spacing w:after="0" w:line="240" w:lineRule="auto"/>
        <w:jc w:val="right"/>
        <w:rPr>
          <w:rFonts w:ascii="Times New Roman" w:hAnsi="Times New Roman"/>
          <w:sz w:val="24"/>
          <w:szCs w:val="24"/>
        </w:rPr>
      </w:pPr>
    </w:p>
    <w:p w:rsidR="001B1F39" w:rsidRDefault="001B1F39" w:rsidP="001B1F39">
      <w:pPr>
        <w:spacing w:after="0" w:line="240" w:lineRule="auto"/>
        <w:jc w:val="right"/>
        <w:rPr>
          <w:rFonts w:ascii="Times New Roman" w:hAnsi="Times New Roman"/>
          <w:sz w:val="24"/>
          <w:szCs w:val="24"/>
        </w:rPr>
      </w:pPr>
      <w:r>
        <w:rPr>
          <w:rFonts w:ascii="Times New Roman" w:hAnsi="Times New Roman"/>
          <w:sz w:val="24"/>
          <w:szCs w:val="24"/>
        </w:rPr>
        <w:t xml:space="preserve">Νάουσα </w:t>
      </w:r>
      <w:r>
        <w:rPr>
          <w:rFonts w:ascii="Times New Roman" w:hAnsi="Times New Roman"/>
          <w:sz w:val="24"/>
          <w:szCs w:val="24"/>
          <w:lang w:val="en-US"/>
        </w:rPr>
        <w:t>2</w:t>
      </w:r>
      <w:r>
        <w:rPr>
          <w:rFonts w:ascii="Times New Roman" w:hAnsi="Times New Roman"/>
          <w:sz w:val="24"/>
          <w:szCs w:val="24"/>
        </w:rPr>
        <w:t>8/0</w:t>
      </w:r>
      <w:r>
        <w:rPr>
          <w:rFonts w:ascii="Times New Roman" w:hAnsi="Times New Roman"/>
          <w:sz w:val="24"/>
          <w:szCs w:val="24"/>
          <w:lang w:val="en-US"/>
        </w:rPr>
        <w:t>9</w:t>
      </w:r>
      <w:r>
        <w:rPr>
          <w:rFonts w:ascii="Times New Roman" w:hAnsi="Times New Roman"/>
          <w:sz w:val="24"/>
          <w:szCs w:val="24"/>
        </w:rPr>
        <w:t>/2020</w:t>
      </w:r>
    </w:p>
    <w:p w:rsidR="001B1F39" w:rsidRDefault="001B1F39" w:rsidP="001B1F39">
      <w:pPr>
        <w:spacing w:after="0" w:line="240" w:lineRule="auto"/>
        <w:jc w:val="both"/>
        <w:rPr>
          <w:b/>
          <w:sz w:val="24"/>
          <w:szCs w:val="24"/>
          <w:lang w:val="en-US"/>
        </w:rPr>
      </w:pPr>
    </w:p>
    <w:p w:rsidR="001B1F39" w:rsidRDefault="001B1F39" w:rsidP="001B1F39">
      <w:pPr>
        <w:spacing w:after="0" w:line="240" w:lineRule="auto"/>
        <w:jc w:val="both"/>
        <w:rPr>
          <w:b/>
          <w:sz w:val="24"/>
          <w:szCs w:val="24"/>
          <w:lang w:val="en-US"/>
        </w:rPr>
      </w:pPr>
    </w:p>
    <w:p w:rsidR="001B1F39" w:rsidRDefault="001B1F39" w:rsidP="001B1F39">
      <w:pPr>
        <w:spacing w:after="0" w:line="240" w:lineRule="auto"/>
        <w:jc w:val="center"/>
        <w:rPr>
          <w:rFonts w:ascii="Times New Roman" w:hAnsi="Times New Roman"/>
          <w:sz w:val="24"/>
          <w:szCs w:val="24"/>
        </w:rPr>
      </w:pPr>
      <w:r>
        <w:rPr>
          <w:b/>
          <w:sz w:val="24"/>
          <w:szCs w:val="24"/>
        </w:rPr>
        <w:t xml:space="preserve">Θέμα: </w:t>
      </w:r>
      <w:r>
        <w:rPr>
          <w:rFonts w:ascii="Times New Roman" w:hAnsi="Times New Roman"/>
          <w:sz w:val="24"/>
          <w:szCs w:val="24"/>
        </w:rPr>
        <w:t xml:space="preserve">«Μετακίνηση του Αντιδημάρχου Περιβάλλοντος, Καθαριότητας και Πολιτικής Προστασίας Δήμου Η.Π.  Νάουσας κ. </w:t>
      </w:r>
      <w:proofErr w:type="spellStart"/>
      <w:r>
        <w:rPr>
          <w:rFonts w:ascii="Times New Roman" w:hAnsi="Times New Roman"/>
          <w:sz w:val="24"/>
          <w:szCs w:val="24"/>
        </w:rPr>
        <w:t>Αδαμίδη</w:t>
      </w:r>
      <w:proofErr w:type="spellEnd"/>
      <w:r>
        <w:rPr>
          <w:rFonts w:ascii="Times New Roman" w:hAnsi="Times New Roman"/>
          <w:sz w:val="24"/>
          <w:szCs w:val="24"/>
        </w:rPr>
        <w:t xml:space="preserve"> Παύλου στην Αθήνα για υπηρεσιακούς λόγους.»</w:t>
      </w:r>
    </w:p>
    <w:p w:rsidR="001B1F39" w:rsidRDefault="001B1F39" w:rsidP="001B1F39">
      <w:pPr>
        <w:spacing w:after="0" w:line="240" w:lineRule="auto"/>
        <w:jc w:val="both"/>
        <w:rPr>
          <w:rFonts w:ascii="Times New Roman" w:hAnsi="Times New Roman"/>
          <w:sz w:val="24"/>
          <w:szCs w:val="24"/>
        </w:rPr>
      </w:pPr>
    </w:p>
    <w:p w:rsidR="001B1F39" w:rsidRDefault="001B1F39" w:rsidP="001B1F39">
      <w:pPr>
        <w:pStyle w:val="6"/>
        <w:shd w:val="clear" w:color="auto" w:fill="auto"/>
        <w:spacing w:line="240" w:lineRule="auto"/>
        <w:ind w:firstLine="700"/>
        <w:jc w:val="both"/>
        <w:rPr>
          <w:color w:val="auto"/>
          <w:sz w:val="24"/>
          <w:szCs w:val="24"/>
        </w:rPr>
      </w:pPr>
      <w:r>
        <w:rPr>
          <w:rStyle w:val="a3"/>
          <w:color w:val="auto"/>
          <w:sz w:val="24"/>
          <w:szCs w:val="24"/>
        </w:rPr>
        <w:t>Α</w:t>
      </w:r>
      <w:r>
        <w:rPr>
          <w:b/>
          <w:color w:val="auto"/>
          <w:sz w:val="24"/>
          <w:szCs w:val="24"/>
        </w:rPr>
        <w:t>)</w:t>
      </w:r>
      <w:r>
        <w:rPr>
          <w:color w:val="auto"/>
          <w:sz w:val="24"/>
          <w:szCs w:val="24"/>
        </w:rPr>
        <w:t>Σύμφωνα, με τις διατάξεις της υποπαραγράφου Δ9 της παραγράφου Δ του άρθρου 1 και του άρθρου 2 του ν. 4336/2015 (ΦΕΚ 94/Α ) στους μετακινούμενους με οποιαδήποτε  ιδιότητα, με εντολή του Δημοσίου, των Ο.Τ.Α. και των λοιπών Ν.Π.Δ.Δ. αναγνωρίζονται δαπάνες μετακίνησης εντός κι εκτός έδρας που περιλαμβάνουν: α) τα έξοδα κίνησης (αντίτιμο εισιτηρίων μέσων μαζικής μεταφοράς ή συγκοινωνιακών μέσων, δαπάνη χιλιομετρικής αποζημίωσης λόγω χρησιμοποίησης οχήματος ιδιωτικής χρήσης (Ι.Χ.) ή μισθωμένου μεταφορικού μέσου αν επιτρέπεται η χρήση του, η δαπάνη διοδίων, ο ναύλος οχήματος σε μετακινήσεις με θαλάσσιο μέσο μεταφοράς), β) έξοδα διανυκτέρευσης (για τις δαπάνες διαμονής σε ξενοδοχειακές μονάδες ή ενοικιαζόμενα καταλύματα), γ) ημερήσια αποζημίωση (για τις εκτός έδρας μετακινήσεις), δ) έξοδα μεταφοράς οικοσκευής, ε) επίδομα υπηρεσίας αλλοδαπής (εφόσον η παραμονή του μετακινούμενου στο εξωτερικό υπερβαίνει το διάστημα των 30 ημερών).</w:t>
      </w:r>
    </w:p>
    <w:p w:rsidR="001B1F39" w:rsidRDefault="001B1F39" w:rsidP="001B1F39">
      <w:pPr>
        <w:pStyle w:val="6"/>
        <w:shd w:val="clear" w:color="auto" w:fill="auto"/>
        <w:spacing w:line="240" w:lineRule="auto"/>
        <w:ind w:firstLine="700"/>
        <w:jc w:val="both"/>
        <w:rPr>
          <w:color w:val="auto"/>
          <w:sz w:val="24"/>
          <w:szCs w:val="24"/>
        </w:rPr>
      </w:pPr>
      <w:r>
        <w:rPr>
          <w:color w:val="auto"/>
          <w:sz w:val="24"/>
          <w:szCs w:val="24"/>
        </w:rPr>
        <w:t>Για τις μετακινήσεις</w:t>
      </w:r>
      <w:r>
        <w:rPr>
          <w:rStyle w:val="a3"/>
          <w:color w:val="auto"/>
          <w:sz w:val="24"/>
          <w:szCs w:val="24"/>
        </w:rPr>
        <w:t xml:space="preserve"> στο ΕΣΩΤΕΡΙΚΟ:</w:t>
      </w:r>
    </w:p>
    <w:p w:rsidR="001B1F39" w:rsidRDefault="001B1F39" w:rsidP="001B1F39">
      <w:pPr>
        <w:pStyle w:val="6"/>
        <w:shd w:val="clear" w:color="auto" w:fill="auto"/>
        <w:spacing w:line="240" w:lineRule="auto"/>
        <w:ind w:firstLine="700"/>
        <w:jc w:val="both"/>
        <w:rPr>
          <w:b/>
          <w:color w:val="auto"/>
          <w:sz w:val="24"/>
          <w:szCs w:val="24"/>
        </w:rPr>
      </w:pPr>
      <w:r>
        <w:rPr>
          <w:color w:val="auto"/>
          <w:sz w:val="24"/>
          <w:szCs w:val="24"/>
        </w:rPr>
        <w:t xml:space="preserve">α) </w:t>
      </w:r>
      <w:r>
        <w:rPr>
          <w:rStyle w:val="3"/>
          <w:color w:val="auto"/>
          <w:sz w:val="24"/>
          <w:szCs w:val="24"/>
        </w:rPr>
        <w:t>Τα έξοδα κίνησης</w:t>
      </w:r>
      <w:r>
        <w:rPr>
          <w:color w:val="auto"/>
          <w:sz w:val="24"/>
          <w:szCs w:val="24"/>
        </w:rPr>
        <w:t xml:space="preserve"> εκτός έδρας περιλαμβάνουν</w:t>
      </w:r>
      <w:r>
        <w:rPr>
          <w:rStyle w:val="a3"/>
          <w:color w:val="auto"/>
          <w:sz w:val="24"/>
          <w:szCs w:val="24"/>
        </w:rPr>
        <w:t xml:space="preserve"> το αντίτιμο των εισιτηρίων όλων των απαιτούμενων μέσων μαζικής μεταφοράς</w:t>
      </w:r>
      <w:r>
        <w:rPr>
          <w:color w:val="auto"/>
          <w:sz w:val="24"/>
          <w:szCs w:val="24"/>
        </w:rPr>
        <w:t xml:space="preserve"> που χρησιμοποιούν οι μετακινούμενοι και τη χιλιομετρική αποζημίωση όταν μετακινούνται με Ι.Χ. αυτοκίνητο, του οποίου η χρήση από υπαλλήλους επιτρέπεται ύστερα από έγκριση του αρμοδίου προς διορισμό οργάνου, για μετακινήσεις εκτός έδρας και μέσα στα όρια του νομού ή της περιφέρειας καθώς και για μετακινήσεις εκτός έδρας και πέρα από τα όρια του νομού ή της περιφέρειας</w:t>
      </w:r>
      <w:r>
        <w:rPr>
          <w:rStyle w:val="a3"/>
          <w:color w:val="auto"/>
          <w:sz w:val="24"/>
          <w:szCs w:val="24"/>
        </w:rPr>
        <w:t xml:space="preserve"> όταν η μετάβαση γίνει διαδοχικά σε περισσότερες από μία περιοχές ή σε νησί.</w:t>
      </w:r>
      <w:r>
        <w:rPr>
          <w:color w:val="auto"/>
          <w:sz w:val="24"/>
          <w:szCs w:val="24"/>
        </w:rPr>
        <w:t xml:space="preserve"> Στις περιπτώσεις αυτές, </w:t>
      </w:r>
      <w:r>
        <w:rPr>
          <w:rStyle w:val="a3"/>
          <w:color w:val="auto"/>
          <w:sz w:val="24"/>
          <w:szCs w:val="24"/>
        </w:rPr>
        <w:t>καταβάλλεται η δαπάνη χιλιομετρικής αποζημίωσης, η δαπάνη διοδίων, καθώς και ο ναύλος αυτοκινήτου</w:t>
      </w:r>
      <w:r>
        <w:rPr>
          <w:b/>
          <w:color w:val="auto"/>
          <w:sz w:val="24"/>
          <w:szCs w:val="24"/>
        </w:rPr>
        <w:t xml:space="preserve"> </w:t>
      </w:r>
      <w:r>
        <w:rPr>
          <w:color w:val="auto"/>
          <w:sz w:val="24"/>
          <w:szCs w:val="24"/>
        </w:rPr>
        <w:t xml:space="preserve">σε περίπτωση </w:t>
      </w:r>
      <w:r>
        <w:rPr>
          <w:color w:val="auto"/>
          <w:sz w:val="24"/>
          <w:szCs w:val="24"/>
        </w:rPr>
        <w:lastRenderedPageBreak/>
        <w:t>μετακίνησης με θαλάσσιο μέσο μαζικής μεταφοράς (άρθρο 7 του πιο πάνω νόμου). Η χιλιομετρική αποζημίωση καθορίζεται με απόφαση του Υπουργού Οικονομικών (άρθρο 8 του πιο πάνω νόμου) αλλά μέχρι την έκδοση της ως άνω υπουργικής απόφασης το</w:t>
      </w:r>
      <w:r>
        <w:rPr>
          <w:rStyle w:val="a3"/>
          <w:color w:val="auto"/>
          <w:sz w:val="24"/>
          <w:szCs w:val="24"/>
        </w:rPr>
        <w:t xml:space="preserve"> ύψος της χιλιομετρικής αποζημίωσης για μετακίνηση με αυτοκίνητο</w:t>
      </w:r>
      <w:r>
        <w:rPr>
          <w:b/>
          <w:color w:val="auto"/>
          <w:sz w:val="24"/>
          <w:szCs w:val="24"/>
        </w:rPr>
        <w:t xml:space="preserve"> </w:t>
      </w:r>
      <w:r>
        <w:rPr>
          <w:color w:val="auto"/>
          <w:sz w:val="24"/>
          <w:szCs w:val="24"/>
        </w:rPr>
        <w:t>εξακολουθεί να καθορίζεται από την αρ. 2/56533/0022/10-10-2006 κοινή υπουργική απόφαση και</w:t>
      </w:r>
      <w:r>
        <w:rPr>
          <w:rStyle w:val="a3"/>
          <w:color w:val="auto"/>
          <w:sz w:val="24"/>
          <w:szCs w:val="24"/>
        </w:rPr>
        <w:t xml:space="preserve"> ανέρχεται σε 0,15 € το χιλιόμετρο.</w:t>
      </w:r>
    </w:p>
    <w:p w:rsidR="001B1F39" w:rsidRDefault="001B1F39" w:rsidP="001B1F39">
      <w:pPr>
        <w:pStyle w:val="6"/>
        <w:shd w:val="clear" w:color="auto" w:fill="auto"/>
        <w:spacing w:line="240" w:lineRule="auto"/>
        <w:ind w:firstLine="700"/>
        <w:jc w:val="both"/>
        <w:rPr>
          <w:color w:val="auto"/>
          <w:sz w:val="24"/>
          <w:szCs w:val="24"/>
        </w:rPr>
      </w:pPr>
      <w:r>
        <w:rPr>
          <w:color w:val="auto"/>
          <w:sz w:val="24"/>
          <w:szCs w:val="24"/>
        </w:rPr>
        <w:t xml:space="preserve">β) </w:t>
      </w:r>
      <w:r>
        <w:rPr>
          <w:rStyle w:val="3"/>
          <w:color w:val="auto"/>
          <w:sz w:val="24"/>
          <w:szCs w:val="24"/>
        </w:rPr>
        <w:t>Τα έξοδα διανυκτέρευσης</w:t>
      </w:r>
      <w:r>
        <w:rPr>
          <w:color w:val="auto"/>
          <w:sz w:val="24"/>
          <w:szCs w:val="24"/>
        </w:rPr>
        <w:t xml:space="preserve"> αναγνωρίζονται α) όταν η απόσταση από την έδρα του μετακινουμένου είναι μεγαλύτερη από εκατόν εξήντα (160) χιλιόμετρα, εφόσον αυτός κινείται με ιδιωτικής χρήσης ή υπηρεσιακό αυτοκίνητο και μεγαλύτερη από εκατόν είκοσι (120) χιλιόμετρα, όταν κινείται με συγκοινωνιακό μέσο καθώς και για μετακινήσεις από την ηπειρωτική στη νησιωτική Χώρα και αντίστροφα ή από νησί σε νησί σε απόσταση μεγαλύτερη από είκοσι (20) ναυτικά μίλια, β) όταν υπάρχει αντικειμενική αδυναμία επιστροφής, ανεξάρτητα από τις προϋποθέσεις της προηγούμενης περίπτωσης, η οποία βεβαιώνεται από την οικεία αστυνομική, λιμενική ή αερολιμενική Αρχή. Τα έξοδα διανυκτέρευσης συνίστανται στο ποσό που καταβάλλουν οι μετακινούμενοι σε κάθε τύπο ξενοδοχειακής μονάδας ή ενοικιαζόμενου καταλύματος με ανώτατο όριο για τους Δημάρχους Δήμων πληθυσμού κάτω των 300.000 κατοίκων, τους Αντιδημάρχους και τους Ειδικούς Συμβούλους -Ειδικούς Συνεργάτες τα</w:t>
      </w:r>
      <w:r>
        <w:rPr>
          <w:rStyle w:val="a3"/>
          <w:color w:val="auto"/>
          <w:sz w:val="24"/>
          <w:szCs w:val="24"/>
        </w:rPr>
        <w:t xml:space="preserve"> 80 ευρώ </w:t>
      </w:r>
      <w:r>
        <w:rPr>
          <w:color w:val="auto"/>
          <w:sz w:val="24"/>
          <w:szCs w:val="24"/>
        </w:rPr>
        <w:t>και για τους Δημοτικούς Συμβούλους, τους Νομικούς Συμβούλους-Δικηγόρους του Δήμου και τους Δημοτικούς Υπαλλήλους τα</w:t>
      </w:r>
      <w:r>
        <w:rPr>
          <w:rStyle w:val="a3"/>
          <w:color w:val="auto"/>
          <w:sz w:val="24"/>
          <w:szCs w:val="24"/>
        </w:rPr>
        <w:t xml:space="preserve"> 60 ευρώ</w:t>
      </w:r>
      <w:r>
        <w:rPr>
          <w:color w:val="auto"/>
          <w:sz w:val="24"/>
          <w:szCs w:val="24"/>
        </w:rPr>
        <w:t xml:space="preserve"> ανά διανυκτέρευση, ποσά που προσαυξάνονται κατά 20% για διαμονή εντός των ορίων των δήμων Αθηνών και Θεσσαλονίκης (άρθρο 10 του πιο πάνω νόμου).</w:t>
      </w:r>
    </w:p>
    <w:p w:rsidR="001B1F39" w:rsidRDefault="001B1F39" w:rsidP="001B1F39">
      <w:pPr>
        <w:pStyle w:val="6"/>
        <w:shd w:val="clear" w:color="auto" w:fill="auto"/>
        <w:spacing w:line="240" w:lineRule="auto"/>
        <w:ind w:firstLine="680"/>
        <w:jc w:val="both"/>
        <w:rPr>
          <w:color w:val="auto"/>
          <w:sz w:val="24"/>
          <w:szCs w:val="24"/>
        </w:rPr>
      </w:pPr>
      <w:r>
        <w:rPr>
          <w:color w:val="auto"/>
          <w:sz w:val="24"/>
          <w:szCs w:val="24"/>
        </w:rPr>
        <w:t xml:space="preserve">γ) </w:t>
      </w:r>
      <w:r>
        <w:rPr>
          <w:rStyle w:val="4"/>
          <w:color w:val="auto"/>
          <w:sz w:val="24"/>
          <w:szCs w:val="24"/>
        </w:rPr>
        <w:t>Η ημερήσια αποζημίωση</w:t>
      </w:r>
      <w:r>
        <w:rPr>
          <w:color w:val="auto"/>
          <w:sz w:val="24"/>
          <w:szCs w:val="24"/>
        </w:rPr>
        <w:t xml:space="preserve"> ορίζεται στο ποσό των σαράντα (40) ευρώ, ανεξάρτητα από τη θέση ή το βαθμό του μετακινούμενου.</w:t>
      </w:r>
      <w:r>
        <w:rPr>
          <w:rStyle w:val="a3"/>
          <w:color w:val="auto"/>
          <w:sz w:val="24"/>
          <w:szCs w:val="24"/>
        </w:rPr>
        <w:t xml:space="preserve"> Η</w:t>
      </w:r>
      <w:r>
        <w:rPr>
          <w:color w:val="auto"/>
          <w:sz w:val="24"/>
          <w:szCs w:val="24"/>
        </w:rPr>
        <w:t xml:space="preserve"> ημερήσια αποζημίωση καταβάλλεται</w:t>
      </w:r>
      <w:r>
        <w:rPr>
          <w:rStyle w:val="a3"/>
          <w:color w:val="auto"/>
          <w:sz w:val="24"/>
          <w:szCs w:val="24"/>
        </w:rPr>
        <w:t xml:space="preserve"> ολόκληρη</w:t>
      </w:r>
      <w:r>
        <w:rPr>
          <w:color w:val="auto"/>
          <w:sz w:val="24"/>
          <w:szCs w:val="24"/>
        </w:rPr>
        <w:t xml:space="preserve"> όταν α) καταβάλλονται δαπάνες διανυκτέρευσης, β) η διανυκτέρευση πραγματοποιείται σε φιλικό σπίτι, γ) οι μετακινούμενοι, κατά την επιστροφή τους, είναι υποχρεωμένοι, λόγω των συγκοινωνιακών συνθηκών, να διανυκτερεύσουν σε πλοίο ή σε τρένο, δ) οι μετακινούμενοι διανυκτερεύουν στην ύπαιθρο και ε) για την ημέρα επιστροφής όταν συμπίπτει με την ημέρα λήξης εργασιών. Η ημερήσια αποζημίωση καταβάλλεται</w:t>
      </w:r>
      <w:r>
        <w:rPr>
          <w:rStyle w:val="a3"/>
          <w:color w:val="auto"/>
          <w:sz w:val="24"/>
          <w:szCs w:val="24"/>
        </w:rPr>
        <w:t xml:space="preserve"> κατά το ήμισυ (1/2)</w:t>
      </w:r>
      <w:r>
        <w:rPr>
          <w:color w:val="auto"/>
          <w:sz w:val="24"/>
          <w:szCs w:val="24"/>
        </w:rPr>
        <w:t xml:space="preserve"> όταν α) οι μετακινούμενοι καλύπτονται από ημιδιατροφή και β) ο μετακινούμενος επιστρέφει αυθημερόν και η απόσταση του προορισμού από την έδρα του είναι: αα) μεγαλύτερη από εκατόν εξήντα (160) χιλιόμετρα, εφόσον κινείται με ιδιωτικής χρήσης ή υπηρεσιακό αυτοκίνητο, ή </w:t>
      </w:r>
      <w:proofErr w:type="spellStart"/>
      <w:r>
        <w:rPr>
          <w:color w:val="auto"/>
          <w:sz w:val="24"/>
          <w:szCs w:val="24"/>
        </w:rPr>
        <w:t>ββ</w:t>
      </w:r>
      <w:proofErr w:type="spellEnd"/>
      <w:r>
        <w:rPr>
          <w:color w:val="auto"/>
          <w:sz w:val="24"/>
          <w:szCs w:val="24"/>
        </w:rPr>
        <w:t xml:space="preserve">) μεγαλύτερη από εκατόν είκοσι (120) χιλιόμετρα, όταν κινείται με συγκοινωνιακό μέσο, ή </w:t>
      </w:r>
      <w:proofErr w:type="spellStart"/>
      <w:r>
        <w:rPr>
          <w:color w:val="auto"/>
          <w:sz w:val="24"/>
          <w:szCs w:val="24"/>
        </w:rPr>
        <w:t>γγ</w:t>
      </w:r>
      <w:proofErr w:type="spellEnd"/>
      <w:r>
        <w:rPr>
          <w:color w:val="auto"/>
          <w:sz w:val="24"/>
          <w:szCs w:val="24"/>
        </w:rPr>
        <w:t>) μεγαλύτερη από είκοσι (20) ναυτικά μίλια για μετακινήσεις από την ηπειρωτική στη νησιωτική Χώρα και αντίστροφα ή από νησί σε νησί. Τέλος, η ημερήσια αποζημίωση καταβάλλεται</w:t>
      </w:r>
      <w:r>
        <w:rPr>
          <w:rStyle w:val="a3"/>
          <w:color w:val="auto"/>
          <w:sz w:val="24"/>
          <w:szCs w:val="24"/>
        </w:rPr>
        <w:t xml:space="preserve"> κατά το ένα τέταρτο (1/4)</w:t>
      </w:r>
      <w:r>
        <w:rPr>
          <w:color w:val="auto"/>
          <w:sz w:val="24"/>
          <w:szCs w:val="24"/>
        </w:rPr>
        <w:t xml:space="preserve"> για τις αυθημερόν εκτός έδρας μετακινήσεις ενώ</w:t>
      </w:r>
      <w:r>
        <w:rPr>
          <w:rStyle w:val="a3"/>
          <w:color w:val="auto"/>
          <w:sz w:val="24"/>
          <w:szCs w:val="24"/>
        </w:rPr>
        <w:t xml:space="preserve"> δεν καταβάλλεται ημερήσια αποζημίωση όταν παρέχεται πλήρης διατροφή</w:t>
      </w:r>
      <w:r>
        <w:rPr>
          <w:color w:val="auto"/>
          <w:sz w:val="24"/>
          <w:szCs w:val="24"/>
        </w:rPr>
        <w:t xml:space="preserve"> (άρθρο 11 του πιο πάνω νόμου).</w:t>
      </w:r>
    </w:p>
    <w:p w:rsidR="001B1F39" w:rsidRDefault="001B1F39" w:rsidP="001B1F39">
      <w:pPr>
        <w:pStyle w:val="6"/>
        <w:shd w:val="clear" w:color="auto" w:fill="auto"/>
        <w:spacing w:line="240" w:lineRule="auto"/>
        <w:ind w:firstLine="680"/>
        <w:jc w:val="both"/>
        <w:rPr>
          <w:color w:val="auto"/>
          <w:sz w:val="24"/>
          <w:szCs w:val="24"/>
        </w:rPr>
      </w:pPr>
      <w:r>
        <w:rPr>
          <w:color w:val="auto"/>
          <w:sz w:val="24"/>
          <w:szCs w:val="24"/>
        </w:rPr>
        <w:t>Β) Σύμφωνα με τις διατάξεις του Π.Δ/τος 80/2016 (ΦΕΚ 145/05-08-2016/τ.Α') και συγκεκριμένα:</w:t>
      </w:r>
    </w:p>
    <w:p w:rsidR="001B1F39" w:rsidRDefault="001B1F39" w:rsidP="001B1F39">
      <w:pPr>
        <w:pStyle w:val="6"/>
        <w:shd w:val="clear" w:color="auto" w:fill="auto"/>
        <w:spacing w:line="240" w:lineRule="auto"/>
        <w:ind w:firstLine="680"/>
        <w:jc w:val="both"/>
        <w:rPr>
          <w:color w:val="auto"/>
          <w:sz w:val="24"/>
          <w:szCs w:val="24"/>
        </w:rPr>
      </w:pPr>
      <w:r>
        <w:rPr>
          <w:rStyle w:val="a3"/>
          <w:color w:val="auto"/>
          <w:sz w:val="24"/>
          <w:szCs w:val="24"/>
        </w:rPr>
        <w:t>α)</w:t>
      </w:r>
      <w:r>
        <w:rPr>
          <w:color w:val="auto"/>
          <w:sz w:val="24"/>
          <w:szCs w:val="24"/>
        </w:rPr>
        <w:t xml:space="preserve"> Με τις διατάξεις τις παρ. 2β' του άρθρου 2 του Π.Δ/τος 80/2016 ισχύει ότι:</w:t>
      </w:r>
    </w:p>
    <w:p w:rsidR="001B1F39" w:rsidRDefault="001B1F39" w:rsidP="001B1F39">
      <w:pPr>
        <w:pStyle w:val="6"/>
        <w:shd w:val="clear" w:color="auto" w:fill="auto"/>
        <w:spacing w:line="240" w:lineRule="auto"/>
        <w:ind w:firstLine="680"/>
        <w:jc w:val="both"/>
        <w:rPr>
          <w:color w:val="auto"/>
          <w:sz w:val="24"/>
          <w:szCs w:val="24"/>
        </w:rPr>
      </w:pPr>
      <w:r>
        <w:rPr>
          <w:color w:val="auto"/>
          <w:sz w:val="24"/>
          <w:szCs w:val="24"/>
        </w:rPr>
        <w:t>«2β’  Για τους λοιπούς φορείς της Γενικής Κυβέρνησης η έκδοση απόφασης ανάληψης υποχρέωσης διενεργείται σε συνέχεια της απόφασης έγκρισης πραγματοποίησης της σχετικής δαπάνης από το αρμόδιο όργανο του φορέα.»</w:t>
      </w:r>
    </w:p>
    <w:p w:rsidR="001B1F39" w:rsidRDefault="001B1F39" w:rsidP="001B1F39">
      <w:pPr>
        <w:pStyle w:val="6"/>
        <w:shd w:val="clear" w:color="auto" w:fill="auto"/>
        <w:spacing w:line="240" w:lineRule="auto"/>
        <w:ind w:firstLine="680"/>
        <w:jc w:val="both"/>
        <w:rPr>
          <w:color w:val="auto"/>
          <w:sz w:val="24"/>
          <w:szCs w:val="24"/>
        </w:rPr>
      </w:pPr>
      <w:r>
        <w:rPr>
          <w:rStyle w:val="a3"/>
          <w:color w:val="auto"/>
          <w:sz w:val="24"/>
          <w:szCs w:val="24"/>
        </w:rPr>
        <w:t>β)</w:t>
      </w:r>
      <w:r>
        <w:rPr>
          <w:color w:val="auto"/>
          <w:sz w:val="24"/>
          <w:szCs w:val="24"/>
        </w:rPr>
        <w:t xml:space="preserve"> Με τις διατάξεις της παρ. Ια' του άρθρου 4 του Π.Δ/τος 80/2016, ισχύει ότι:</w:t>
      </w:r>
    </w:p>
    <w:p w:rsidR="001B1F39" w:rsidRDefault="001B1F39" w:rsidP="001B1F39">
      <w:pPr>
        <w:pStyle w:val="6"/>
        <w:shd w:val="clear" w:color="auto" w:fill="auto"/>
        <w:spacing w:line="240" w:lineRule="auto"/>
        <w:ind w:firstLine="680"/>
        <w:jc w:val="both"/>
        <w:rPr>
          <w:color w:val="auto"/>
          <w:sz w:val="24"/>
          <w:szCs w:val="24"/>
        </w:rPr>
      </w:pPr>
      <w:r>
        <w:rPr>
          <w:color w:val="auto"/>
          <w:sz w:val="24"/>
          <w:szCs w:val="24"/>
        </w:rPr>
        <w:lastRenderedPageBreak/>
        <w:t>«1. Για την έκδοση της απόφασης ανάληψης υποχρέωσης, ακολουθείται η εξής διαδικασία:</w:t>
      </w:r>
    </w:p>
    <w:p w:rsidR="001B1F39" w:rsidRDefault="001B1F39" w:rsidP="001B1F39">
      <w:pPr>
        <w:pStyle w:val="6"/>
        <w:shd w:val="clear" w:color="auto" w:fill="auto"/>
        <w:spacing w:line="240" w:lineRule="auto"/>
        <w:ind w:firstLine="680"/>
        <w:jc w:val="both"/>
        <w:rPr>
          <w:color w:val="auto"/>
          <w:sz w:val="24"/>
          <w:szCs w:val="24"/>
        </w:rPr>
      </w:pPr>
      <w:r>
        <w:rPr>
          <w:color w:val="auto"/>
          <w:sz w:val="24"/>
          <w:szCs w:val="24"/>
        </w:rPr>
        <w:t xml:space="preserve">α. Κατόπιν τεκμηριωμένου αιτήματος του </w:t>
      </w:r>
      <w:proofErr w:type="spellStart"/>
      <w:r>
        <w:rPr>
          <w:color w:val="auto"/>
          <w:sz w:val="24"/>
          <w:szCs w:val="24"/>
        </w:rPr>
        <w:t>διατάκτη</w:t>
      </w:r>
      <w:proofErr w:type="spellEnd"/>
      <w:r>
        <w:rPr>
          <w:color w:val="auto"/>
          <w:sz w:val="24"/>
          <w:szCs w:val="24"/>
        </w:rPr>
        <w:t xml:space="preserve">, ο Προϊστάμενος Οικονομικών Υπηρεσιών καταρτίζει σε δύο (2) αντίτυπα το σχέδιο της σχετικής απόφασης ανάληψης υποχρέωσης και συντάσσει βάσει των τηρούμενων στοιχείων τη βεβαίωση της παρ.2 του άρθρου 3 του παρόντος, εφόσον: ΐ) συντρέχουν οι οριζόμενες στο άρθρο 66 παρ.2 του Ν.4270/2014, όπως ισχύει, προϋποθέσεις, ϋ) η δαπάνη στην οποία αφορά είναι νόμιμη κατά την έννοια του άρθρου 91, παρ.2, εδάφιο </w:t>
      </w:r>
      <w:proofErr w:type="spellStart"/>
      <w:r>
        <w:rPr>
          <w:color w:val="auto"/>
          <w:sz w:val="24"/>
          <w:szCs w:val="24"/>
        </w:rPr>
        <w:t>β'του</w:t>
      </w:r>
      <w:proofErr w:type="spellEnd"/>
      <w:r>
        <w:rPr>
          <w:color w:val="auto"/>
          <w:sz w:val="24"/>
          <w:szCs w:val="24"/>
        </w:rPr>
        <w:t xml:space="preserve"> Ν.4270/2014, </w:t>
      </w:r>
      <w:r>
        <w:rPr>
          <w:color w:val="auto"/>
          <w:sz w:val="24"/>
          <w:szCs w:val="24"/>
          <w:lang w:val="en-US"/>
        </w:rPr>
        <w:t>iii</w:t>
      </w:r>
      <w:r>
        <w:rPr>
          <w:color w:val="auto"/>
          <w:sz w:val="24"/>
          <w:szCs w:val="24"/>
        </w:rPr>
        <w:t xml:space="preserve">) η σχετική απαίτηση δεν έχει υποπέσει σε παραγραφή και </w:t>
      </w:r>
      <w:proofErr w:type="spellStart"/>
      <w:r>
        <w:rPr>
          <w:color w:val="auto"/>
          <w:sz w:val="24"/>
          <w:szCs w:val="24"/>
        </w:rPr>
        <w:t>ΐν</w:t>
      </w:r>
      <w:proofErr w:type="spellEnd"/>
      <w:r>
        <w:rPr>
          <w:color w:val="auto"/>
          <w:sz w:val="24"/>
          <w:szCs w:val="24"/>
        </w:rPr>
        <w:t>) το αίτημα για την έκδοση της σχετικής απόφασης ανάληψης προηγείται οποιασδήποτε άλλης ενέργειας πραγματοποίησης της δαπάνης, σύμφωνα με τα οριζόμενα στο παρόν διάταγμα.»</w:t>
      </w:r>
    </w:p>
    <w:p w:rsidR="001B1F39" w:rsidRDefault="001B1F39" w:rsidP="001B1F39">
      <w:pPr>
        <w:pStyle w:val="6"/>
        <w:shd w:val="clear" w:color="auto" w:fill="auto"/>
        <w:spacing w:line="240" w:lineRule="auto"/>
        <w:ind w:firstLine="680"/>
        <w:jc w:val="both"/>
        <w:rPr>
          <w:color w:val="auto"/>
          <w:sz w:val="24"/>
          <w:szCs w:val="24"/>
        </w:rPr>
      </w:pPr>
      <w:r>
        <w:rPr>
          <w:color w:val="auto"/>
          <w:sz w:val="24"/>
          <w:szCs w:val="24"/>
        </w:rPr>
        <w:t xml:space="preserve">Από τα ανωτέρω συνάγεται ότι «Τεκμηριωμένο Αίτημα» είναι το αρχικό έγγραφο αίτημα που καταρτίζει ο οικείος </w:t>
      </w:r>
      <w:proofErr w:type="spellStart"/>
      <w:r>
        <w:rPr>
          <w:color w:val="auto"/>
          <w:sz w:val="24"/>
          <w:szCs w:val="24"/>
        </w:rPr>
        <w:t>Διατάκτης</w:t>
      </w:r>
      <w:proofErr w:type="spellEnd"/>
      <w:r>
        <w:rPr>
          <w:color w:val="auto"/>
          <w:sz w:val="24"/>
          <w:szCs w:val="24"/>
        </w:rPr>
        <w:t>, για την έκδοση απόφασης Ανάληψης Υποχρέωσης.</w:t>
      </w:r>
    </w:p>
    <w:p w:rsidR="001B1F39" w:rsidRDefault="001B1F39" w:rsidP="001B1F39">
      <w:pPr>
        <w:pStyle w:val="6"/>
        <w:shd w:val="clear" w:color="auto" w:fill="auto"/>
        <w:spacing w:line="240" w:lineRule="auto"/>
        <w:ind w:firstLine="680"/>
        <w:jc w:val="both"/>
        <w:rPr>
          <w:color w:val="auto"/>
          <w:sz w:val="24"/>
          <w:szCs w:val="24"/>
        </w:rPr>
      </w:pPr>
      <w:r>
        <w:rPr>
          <w:color w:val="auto"/>
          <w:sz w:val="24"/>
          <w:szCs w:val="24"/>
        </w:rPr>
        <w:t>Στον προϋπολογισμό του Δήμου έτους</w:t>
      </w:r>
      <w:r>
        <w:rPr>
          <w:rStyle w:val="a3"/>
          <w:color w:val="auto"/>
          <w:sz w:val="24"/>
          <w:szCs w:val="24"/>
        </w:rPr>
        <w:t xml:space="preserve"> 2020</w:t>
      </w:r>
      <w:r>
        <w:rPr>
          <w:color w:val="auto"/>
          <w:sz w:val="24"/>
          <w:szCs w:val="24"/>
        </w:rPr>
        <w:t xml:space="preserve"> και στον ΚΑΕ 02.00.6421«Οδοιπορικά Έξοδα και αποζημίωση μετακινούμενων αιρετών» υπάρχουν γραμμένες σχετικές πιστώσεις σύμφωνα με τις διατάξεις των άρθρων 158 &amp; 160 του Ν.3463/2006 και τις τροποποιήσεις αυτών.</w:t>
      </w:r>
    </w:p>
    <w:p w:rsidR="001B1F39" w:rsidRDefault="001B1F39" w:rsidP="001B1F39">
      <w:pPr>
        <w:spacing w:after="0" w:line="240" w:lineRule="auto"/>
        <w:jc w:val="both"/>
        <w:rPr>
          <w:rFonts w:ascii="Times New Roman" w:hAnsi="Times New Roman"/>
          <w:iCs/>
          <w:sz w:val="24"/>
          <w:szCs w:val="24"/>
        </w:rPr>
      </w:pPr>
      <w:r>
        <w:rPr>
          <w:rFonts w:ascii="Times New Roman" w:hAnsi="Times New Roman"/>
          <w:iCs/>
          <w:sz w:val="24"/>
          <w:szCs w:val="24"/>
        </w:rPr>
        <w:t xml:space="preserve">         </w:t>
      </w:r>
    </w:p>
    <w:p w:rsidR="001B1F39" w:rsidRDefault="001B1F39" w:rsidP="001B1F39">
      <w:pPr>
        <w:spacing w:after="0" w:line="240" w:lineRule="auto"/>
        <w:jc w:val="both"/>
        <w:rPr>
          <w:rFonts w:ascii="Times New Roman" w:hAnsi="Times New Roman"/>
          <w:sz w:val="24"/>
          <w:szCs w:val="24"/>
        </w:rPr>
      </w:pPr>
      <w:r>
        <w:rPr>
          <w:rFonts w:ascii="Times New Roman" w:hAnsi="Times New Roman"/>
          <w:iCs/>
          <w:sz w:val="24"/>
          <w:szCs w:val="24"/>
        </w:rPr>
        <w:t xml:space="preserve">           Γ) Σύμφωνα με τις διατάξεις του άρθρου </w:t>
      </w:r>
      <w:r>
        <w:rPr>
          <w:rFonts w:ascii="Times New Roman" w:hAnsi="Times New Roman"/>
          <w:sz w:val="24"/>
          <w:szCs w:val="24"/>
        </w:rPr>
        <w:t>Άρθρο 203 «</w:t>
      </w:r>
      <w:proofErr w:type="spellStart"/>
      <w:r>
        <w:rPr>
          <w:rFonts w:ascii="Times New Roman" w:hAnsi="Times New Roman"/>
          <w:sz w:val="24"/>
          <w:szCs w:val="24"/>
        </w:rPr>
        <w:t>Διατάκτης</w:t>
      </w:r>
      <w:proofErr w:type="spellEnd"/>
      <w:r>
        <w:rPr>
          <w:rFonts w:ascii="Times New Roman" w:hAnsi="Times New Roman"/>
          <w:sz w:val="24"/>
          <w:szCs w:val="24"/>
        </w:rPr>
        <w:t xml:space="preserve"> στους Ο.Τ.Α. </w:t>
      </w:r>
      <w:proofErr w:type="spellStart"/>
      <w:r>
        <w:rPr>
          <w:rFonts w:ascii="Times New Roman" w:hAnsi="Times New Roman"/>
          <w:sz w:val="24"/>
          <w:szCs w:val="24"/>
        </w:rPr>
        <w:t>α΄</w:t>
      </w:r>
      <w:proofErr w:type="spellEnd"/>
      <w:r>
        <w:rPr>
          <w:rFonts w:ascii="Times New Roman" w:hAnsi="Times New Roman"/>
          <w:sz w:val="24"/>
          <w:szCs w:val="24"/>
        </w:rPr>
        <w:t xml:space="preserve"> βαθμού» του Ν.4555/2018 (ΦΕΚ 133/τ.Α/19-7-2018)  </w:t>
      </w:r>
    </w:p>
    <w:p w:rsidR="001B1F39" w:rsidRDefault="001B1F39" w:rsidP="001B1F39">
      <w:pPr>
        <w:spacing w:after="0" w:line="240" w:lineRule="auto"/>
        <w:jc w:val="both"/>
        <w:rPr>
          <w:rFonts w:ascii="Times New Roman" w:hAnsi="Times New Roman"/>
          <w:sz w:val="24"/>
          <w:szCs w:val="24"/>
        </w:rPr>
      </w:pPr>
      <w:r>
        <w:rPr>
          <w:rFonts w:ascii="Times New Roman" w:hAnsi="Times New Roman"/>
          <w:sz w:val="24"/>
          <w:szCs w:val="24"/>
        </w:rPr>
        <w:t xml:space="preserve">1. Η περίπτωση </w:t>
      </w:r>
      <w:proofErr w:type="spellStart"/>
      <w:r>
        <w:rPr>
          <w:rFonts w:ascii="Times New Roman" w:hAnsi="Times New Roman"/>
          <w:sz w:val="24"/>
          <w:szCs w:val="24"/>
        </w:rPr>
        <w:t>ε΄</w:t>
      </w:r>
      <w:proofErr w:type="spellEnd"/>
      <w:r>
        <w:rPr>
          <w:rFonts w:ascii="Times New Roman" w:hAnsi="Times New Roman"/>
          <w:sz w:val="24"/>
          <w:szCs w:val="24"/>
        </w:rPr>
        <w:t xml:space="preserve"> της παρ. 1 του άρθρου 58 του ν. 3852/2010 αντικαθίσταται ως εξής: «ε)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του δημοτικού συμβουλίου.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 </w:t>
      </w:r>
    </w:p>
    <w:p w:rsidR="001B1F39" w:rsidRDefault="001B1F39" w:rsidP="001B1F39">
      <w:pPr>
        <w:spacing w:after="0" w:line="240" w:lineRule="auto"/>
        <w:jc w:val="both"/>
        <w:rPr>
          <w:rFonts w:ascii="Times New Roman" w:hAnsi="Times New Roman"/>
          <w:sz w:val="24"/>
          <w:szCs w:val="24"/>
        </w:rPr>
      </w:pPr>
      <w:r>
        <w:rPr>
          <w:rFonts w:ascii="Times New Roman" w:hAnsi="Times New Roman"/>
          <w:sz w:val="24"/>
          <w:szCs w:val="24"/>
        </w:rPr>
        <w:t xml:space="preserve">2. Όπου στις διατάξεις της παραγράφου 2 του άρθρου 140, της παραγράφου 3 του άρθρου 158 και του άρθρου 202 του ν. 3463/2006, καθώς και των άρθρων 70 παράγραφος 3 του άρθρου 94 και παρ. 4 περίπτωση 30 του ν. 3852/2010 ή σε άλλες διατάξεις της ισχύουσας νομοθεσίας ορίζεται το δημοτικό συμβούλιο ως όργανο αρμόδιο για την έγκριση της δαπάνης και τη διάθεση της πίστωσης, νοείται εφεξής ο Δήμαρχος, με την επιφύλαξη των διατάξεων της παραγράφου 1 του άρθρου αυτού. </w:t>
      </w:r>
    </w:p>
    <w:p w:rsidR="001B1F39" w:rsidRDefault="001B1F39" w:rsidP="001B1F39">
      <w:pPr>
        <w:spacing w:after="0" w:line="240" w:lineRule="auto"/>
        <w:jc w:val="both"/>
        <w:rPr>
          <w:rFonts w:ascii="Times New Roman" w:hAnsi="Times New Roman"/>
          <w:sz w:val="24"/>
          <w:szCs w:val="24"/>
        </w:rPr>
      </w:pPr>
    </w:p>
    <w:p w:rsidR="001B1F39" w:rsidRDefault="001B1F39" w:rsidP="001B1F39">
      <w:pPr>
        <w:spacing w:after="0" w:line="240" w:lineRule="auto"/>
        <w:jc w:val="both"/>
        <w:rPr>
          <w:rFonts w:ascii="Times New Roman" w:hAnsi="Times New Roman"/>
          <w:sz w:val="24"/>
          <w:szCs w:val="24"/>
        </w:rPr>
      </w:pPr>
      <w:r>
        <w:rPr>
          <w:rFonts w:ascii="Times New Roman" w:hAnsi="Times New Roman"/>
          <w:b/>
          <w:sz w:val="24"/>
          <w:szCs w:val="24"/>
        </w:rPr>
        <w:t xml:space="preserve">         Δ)</w:t>
      </w:r>
      <w:r>
        <w:rPr>
          <w:rFonts w:ascii="Times New Roman" w:hAnsi="Times New Roman"/>
          <w:sz w:val="24"/>
          <w:szCs w:val="24"/>
        </w:rPr>
        <w:t xml:space="preserve"> Το γεγονός ότι η πίστωση για την ανωτέρω μετακίνηση αποτελεί εξειδικευμένη πίστωση. </w:t>
      </w:r>
    </w:p>
    <w:p w:rsidR="001B1F39" w:rsidRDefault="001B1F39" w:rsidP="001B1F39">
      <w:pPr>
        <w:spacing w:after="0" w:line="240" w:lineRule="auto"/>
        <w:jc w:val="both"/>
        <w:rPr>
          <w:rFonts w:ascii="Times New Roman" w:hAnsi="Times New Roman"/>
          <w:sz w:val="24"/>
          <w:szCs w:val="24"/>
        </w:rPr>
      </w:pPr>
      <w:r>
        <w:rPr>
          <w:rFonts w:ascii="Times New Roman" w:hAnsi="Times New Roman"/>
          <w:sz w:val="24"/>
          <w:szCs w:val="24"/>
        </w:rPr>
        <w:t xml:space="preserve">          Ε) Τις διατάξεις της παρ.1 του άρθρου 140 του Ν.3463/2006.</w:t>
      </w:r>
    </w:p>
    <w:p w:rsidR="001B1F39" w:rsidRDefault="001B1F39" w:rsidP="001B1F39">
      <w:pPr>
        <w:spacing w:after="0" w:line="240" w:lineRule="auto"/>
        <w:jc w:val="both"/>
        <w:rPr>
          <w:rFonts w:ascii="Times New Roman" w:hAnsi="Times New Roman"/>
          <w:sz w:val="24"/>
          <w:szCs w:val="24"/>
        </w:rPr>
      </w:pPr>
    </w:p>
    <w:p w:rsidR="001B1F39" w:rsidRDefault="001B1F39" w:rsidP="001B1F39">
      <w:pPr>
        <w:spacing w:after="0" w:line="240" w:lineRule="auto"/>
        <w:ind w:firstLine="720"/>
        <w:jc w:val="both"/>
        <w:rPr>
          <w:rFonts w:ascii="Times New Roman" w:hAnsi="Times New Roman"/>
          <w:sz w:val="23"/>
          <w:szCs w:val="23"/>
        </w:rPr>
      </w:pPr>
      <w:r>
        <w:rPr>
          <w:rFonts w:ascii="Times New Roman" w:hAnsi="Times New Roman"/>
          <w:sz w:val="23"/>
          <w:szCs w:val="23"/>
        </w:rPr>
        <w:t xml:space="preserve"> Ο Αντιδήμαρχος Περιβάλλοντος, Καθαριότητας και Πολιτικής Προστασίας κ. Παύλος </w:t>
      </w:r>
      <w:proofErr w:type="spellStart"/>
      <w:r>
        <w:rPr>
          <w:rFonts w:ascii="Times New Roman" w:hAnsi="Times New Roman"/>
          <w:sz w:val="23"/>
          <w:szCs w:val="23"/>
        </w:rPr>
        <w:t>Αδαμίδης</w:t>
      </w:r>
      <w:proofErr w:type="spellEnd"/>
      <w:r>
        <w:rPr>
          <w:rFonts w:ascii="Times New Roman" w:hAnsi="Times New Roman"/>
          <w:sz w:val="23"/>
          <w:szCs w:val="23"/>
        </w:rPr>
        <w:t xml:space="preserve"> συνόδευσε στην Αθήνα τον Δήμαρχο Νάουσας κ. Νικόλα </w:t>
      </w:r>
      <w:proofErr w:type="spellStart"/>
      <w:r>
        <w:rPr>
          <w:rFonts w:ascii="Times New Roman" w:hAnsi="Times New Roman"/>
          <w:sz w:val="23"/>
          <w:szCs w:val="23"/>
        </w:rPr>
        <w:t>Καρανικόλα</w:t>
      </w:r>
      <w:proofErr w:type="spellEnd"/>
      <w:r>
        <w:rPr>
          <w:rFonts w:ascii="Times New Roman" w:hAnsi="Times New Roman"/>
          <w:sz w:val="23"/>
          <w:szCs w:val="23"/>
        </w:rPr>
        <w:t xml:space="preserve"> για υπηρεσιακούς λόγους και συγκεκριμένα πραγματοποίησε συναντήσεις με Υπουργούς και κυβερνητικά στελέχη. Η μετακίνηση πραγματοποιήθηκε εκτάκτως, καθώς κατά το διάστημα των ημερών αυτών πραγματοποιήθηκε η επιβολή νέων έκτακτων μέτρων για </w:t>
      </w:r>
      <w:r>
        <w:rPr>
          <w:rFonts w:ascii="Times New Roman" w:hAnsi="Times New Roman"/>
          <w:sz w:val="23"/>
          <w:szCs w:val="23"/>
        </w:rPr>
        <w:lastRenderedPageBreak/>
        <w:t xml:space="preserve">την διάδοση του </w:t>
      </w:r>
      <w:proofErr w:type="spellStart"/>
      <w:r>
        <w:rPr>
          <w:rFonts w:ascii="Times New Roman" w:hAnsi="Times New Roman"/>
          <w:sz w:val="23"/>
          <w:szCs w:val="23"/>
        </w:rPr>
        <w:t>κορονοϊού</w:t>
      </w:r>
      <w:proofErr w:type="spellEnd"/>
      <w:r>
        <w:rPr>
          <w:rFonts w:ascii="Times New Roman" w:hAnsi="Times New Roman"/>
          <w:sz w:val="23"/>
          <w:szCs w:val="23"/>
        </w:rPr>
        <w:t>, επομένως ήταν απαραίτητο να οριστικοποιηθούν οι συναντήσεις και μετά την επιβολή των έκτακτων μέτρων.</w:t>
      </w:r>
    </w:p>
    <w:p w:rsidR="001B1F39" w:rsidRDefault="001B1F39" w:rsidP="001B1F39">
      <w:pPr>
        <w:spacing w:after="0" w:line="240" w:lineRule="auto"/>
        <w:ind w:firstLine="720"/>
        <w:jc w:val="both"/>
        <w:rPr>
          <w:rFonts w:ascii="Times New Roman" w:hAnsi="Times New Roman"/>
          <w:sz w:val="23"/>
          <w:szCs w:val="23"/>
        </w:rPr>
      </w:pPr>
      <w:r>
        <w:rPr>
          <w:rFonts w:ascii="Times New Roman" w:hAnsi="Times New Roman"/>
          <w:sz w:val="23"/>
          <w:szCs w:val="23"/>
        </w:rPr>
        <w:t xml:space="preserve">Αναλυτικά: Ο Δήμαρχος Νάουσας κ. </w:t>
      </w:r>
      <w:proofErr w:type="spellStart"/>
      <w:r>
        <w:rPr>
          <w:rFonts w:ascii="Times New Roman" w:hAnsi="Times New Roman"/>
          <w:sz w:val="23"/>
          <w:szCs w:val="23"/>
        </w:rPr>
        <w:t>Καρανικόλας</w:t>
      </w:r>
      <w:proofErr w:type="spellEnd"/>
      <w:r>
        <w:rPr>
          <w:rFonts w:ascii="Times New Roman" w:hAnsi="Times New Roman"/>
          <w:sz w:val="23"/>
          <w:szCs w:val="23"/>
        </w:rPr>
        <w:t xml:space="preserve"> Νικόλας και ο </w:t>
      </w:r>
      <w:proofErr w:type="spellStart"/>
      <w:r>
        <w:rPr>
          <w:rFonts w:ascii="Times New Roman" w:hAnsi="Times New Roman"/>
          <w:sz w:val="23"/>
          <w:szCs w:val="23"/>
        </w:rPr>
        <w:t>Αντδήμαρχος</w:t>
      </w:r>
      <w:proofErr w:type="spellEnd"/>
      <w:r>
        <w:rPr>
          <w:rFonts w:ascii="Times New Roman" w:hAnsi="Times New Roman"/>
          <w:sz w:val="23"/>
          <w:szCs w:val="23"/>
        </w:rPr>
        <w:t xml:space="preserve"> κ. Παύλος </w:t>
      </w:r>
      <w:proofErr w:type="spellStart"/>
      <w:r>
        <w:rPr>
          <w:rFonts w:ascii="Times New Roman" w:hAnsi="Times New Roman"/>
          <w:sz w:val="23"/>
          <w:szCs w:val="23"/>
        </w:rPr>
        <w:t>Αδαμίδης</w:t>
      </w:r>
      <w:proofErr w:type="spellEnd"/>
      <w:r>
        <w:rPr>
          <w:rFonts w:ascii="Times New Roman" w:hAnsi="Times New Roman"/>
          <w:sz w:val="23"/>
          <w:szCs w:val="23"/>
        </w:rPr>
        <w:t xml:space="preserve"> την Τετάρτη 23 Σεπτεμβρίου 2020 πραγματοποίησαν συνάντηση με τον Υπουργό Ανάπτυξης και Επενδύσεων κ. Άδωνη Γεωργιάδη, ενώ την Πέμπτη 24 Σεπτεμβρίου μετέβησαν στο Ταμείο Παρακαταθηκών και Δανείων, όπου υπέγραψαν Συμβάσεις του Δήμου Νάουσας, όπως επίσης και στο Υπουργείο Περιβάλλοντος και Ενέργειας, όπου συζήτησαν σχετικά με την οριοθέτηση της </w:t>
      </w:r>
      <w:proofErr w:type="spellStart"/>
      <w:r>
        <w:rPr>
          <w:rFonts w:ascii="Times New Roman" w:hAnsi="Times New Roman"/>
          <w:sz w:val="23"/>
          <w:szCs w:val="23"/>
        </w:rPr>
        <w:t>Αράπιτσας</w:t>
      </w:r>
      <w:proofErr w:type="spellEnd"/>
      <w:r>
        <w:rPr>
          <w:rFonts w:ascii="Times New Roman" w:hAnsi="Times New Roman"/>
          <w:sz w:val="23"/>
          <w:szCs w:val="23"/>
        </w:rPr>
        <w:t>. Τέλος, στο Υπουργείο Πολιτισμού και Αθλητισμού, όπου συναντήθηκαν  με τον Γενικό Γραμματέα Πολιτισμού κ. Διδασκάλου Γεώργιο και συζήτησαν για θέματα Πολιτισμού.</w:t>
      </w:r>
    </w:p>
    <w:p w:rsidR="001B1F39" w:rsidRDefault="001B1F39" w:rsidP="001B1F39">
      <w:pPr>
        <w:spacing w:after="0" w:line="240" w:lineRule="auto"/>
        <w:ind w:firstLine="720"/>
        <w:jc w:val="both"/>
        <w:rPr>
          <w:rFonts w:ascii="Times New Roman" w:hAnsi="Times New Roman"/>
          <w:sz w:val="24"/>
          <w:szCs w:val="24"/>
        </w:rPr>
      </w:pPr>
    </w:p>
    <w:p w:rsidR="001B1F39" w:rsidRDefault="001B1F39" w:rsidP="001B1F39">
      <w:pPr>
        <w:spacing w:after="0" w:line="240" w:lineRule="auto"/>
        <w:jc w:val="both"/>
        <w:rPr>
          <w:rStyle w:val="a4"/>
          <w:rFonts w:ascii="Georgia" w:hAnsi="Georgia"/>
          <w:b w:val="0"/>
          <w:color w:val="111111"/>
        </w:rPr>
      </w:pPr>
      <w:r>
        <w:rPr>
          <w:rStyle w:val="a4"/>
          <w:rFonts w:ascii="Georgia" w:hAnsi="Georgia"/>
          <w:color w:val="111111"/>
        </w:rPr>
        <w:t>Η μετακίνηση του Αντιδημάρχου πραγματοποιήθηκε οδικώς από Νάουσα- Αθήνα την Τετάρτη 23 Σεπτεμβρίου 2020, όπως και από Αθήνα- Νάουσα την Πέμπτη 24 Σεπτεμβρίου 2020.</w:t>
      </w:r>
    </w:p>
    <w:p w:rsidR="001B1F39" w:rsidRDefault="001B1F39" w:rsidP="001B1F39">
      <w:pPr>
        <w:spacing w:after="0" w:line="240" w:lineRule="auto"/>
        <w:jc w:val="both"/>
        <w:rPr>
          <w:rStyle w:val="a4"/>
          <w:rFonts w:ascii="Georgia" w:hAnsi="Georgia"/>
          <w:b w:val="0"/>
          <w:color w:val="111111"/>
        </w:rPr>
      </w:pPr>
      <w:r>
        <w:rPr>
          <w:rStyle w:val="a4"/>
          <w:rFonts w:ascii="Georgia" w:hAnsi="Georgia"/>
          <w:color w:val="111111"/>
        </w:rPr>
        <w:t>Ο αριθμός των ημερών ήταν δύο (2) και των διανυκτερεύσεων μια (1).</w:t>
      </w:r>
    </w:p>
    <w:p w:rsidR="001B1F39" w:rsidRDefault="001B1F39" w:rsidP="001B1F39">
      <w:pPr>
        <w:spacing w:after="0" w:line="240" w:lineRule="auto"/>
        <w:jc w:val="both"/>
        <w:rPr>
          <w:rStyle w:val="a4"/>
          <w:rFonts w:ascii="Georgia" w:hAnsi="Georgia"/>
          <w:b w:val="0"/>
          <w:color w:val="111111"/>
        </w:rPr>
      </w:pPr>
      <w:r>
        <w:rPr>
          <w:rStyle w:val="a4"/>
          <w:rFonts w:ascii="Georgia" w:hAnsi="Georgia"/>
          <w:color w:val="111111"/>
        </w:rPr>
        <w:t>Ο προϋπολογισμός του Δήμου θα επιβαρυνθεί με τα έξοδα μετακίνησης και ημερήσιας αποζημίωσης.</w:t>
      </w:r>
    </w:p>
    <w:p w:rsidR="001B1F39" w:rsidRDefault="001B1F39" w:rsidP="001B1F39">
      <w:pPr>
        <w:spacing w:after="0" w:line="240" w:lineRule="auto"/>
        <w:jc w:val="both"/>
        <w:rPr>
          <w:rFonts w:ascii="Times New Roman" w:hAnsi="Times New Roman"/>
          <w:sz w:val="24"/>
          <w:szCs w:val="24"/>
        </w:rPr>
      </w:pPr>
    </w:p>
    <w:p w:rsidR="001B1F39" w:rsidRDefault="001B1F39" w:rsidP="001B1F39">
      <w:pPr>
        <w:spacing w:after="0" w:line="240" w:lineRule="auto"/>
        <w:ind w:firstLine="720"/>
        <w:jc w:val="both"/>
        <w:rPr>
          <w:rFonts w:ascii="Times New Roman" w:hAnsi="Times New Roman"/>
          <w:sz w:val="24"/>
          <w:szCs w:val="24"/>
          <w:highlight w:val="yellow"/>
        </w:rPr>
      </w:pPr>
    </w:p>
    <w:p w:rsidR="001B1F39" w:rsidRDefault="001B1F39" w:rsidP="001B1F39">
      <w:pPr>
        <w:spacing w:after="0" w:line="240" w:lineRule="auto"/>
        <w:jc w:val="both"/>
        <w:rPr>
          <w:rFonts w:ascii="Times New Roman" w:hAnsi="Times New Roman"/>
          <w:sz w:val="24"/>
          <w:szCs w:val="24"/>
          <w:highlight w:val="yellow"/>
        </w:rPr>
      </w:pPr>
      <w:r>
        <w:rPr>
          <w:sz w:val="20"/>
          <w:szCs w:val="20"/>
          <w:u w:val="single"/>
        </w:rPr>
        <w:t>ΚΑΤΑΣΤΑΣΗ ΠΛΗΡΩΜΗΣ ΔΑΠΑΝΩΝ ΤΟΥ ΔΗΜΑΡΧΟΥ κ. ΚΑΡΑΝΙΚΟΛΑ ΝΙΚΟΛΑΟΥ</w:t>
      </w:r>
    </w:p>
    <w:tbl>
      <w:tblPr>
        <w:tblW w:w="84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6"/>
        <w:gridCol w:w="1484"/>
        <w:gridCol w:w="858"/>
        <w:gridCol w:w="1078"/>
        <w:gridCol w:w="1256"/>
        <w:gridCol w:w="1462"/>
        <w:gridCol w:w="1122"/>
      </w:tblGrid>
      <w:tr w:rsidR="001B1F39" w:rsidTr="001B1F39">
        <w:trPr>
          <w:trHeight w:val="321"/>
          <w:jc w:val="center"/>
        </w:trPr>
        <w:tc>
          <w:tcPr>
            <w:tcW w:w="0" w:type="auto"/>
            <w:tcBorders>
              <w:top w:val="single" w:sz="4" w:space="0" w:color="000000"/>
              <w:left w:val="single" w:sz="4" w:space="0" w:color="000000"/>
              <w:bottom w:val="single" w:sz="4" w:space="0" w:color="000000"/>
              <w:right w:val="single" w:sz="4" w:space="0" w:color="000000"/>
            </w:tcBorders>
            <w:hideMark/>
          </w:tcPr>
          <w:p w:rsidR="001B1F39" w:rsidRDefault="001B1F39">
            <w:pPr>
              <w:spacing w:after="0" w:line="240" w:lineRule="auto"/>
              <w:jc w:val="both"/>
              <w:rPr>
                <w:rFonts w:ascii="Cambria" w:hAnsi="Cambria" w:cs="Arial"/>
                <w:sz w:val="18"/>
                <w:szCs w:val="18"/>
              </w:rPr>
            </w:pPr>
            <w:r>
              <w:rPr>
                <w:rFonts w:ascii="Cambria" w:hAnsi="Cambria" w:cs="Arial"/>
                <w:sz w:val="18"/>
                <w:szCs w:val="18"/>
              </w:rPr>
              <w:t xml:space="preserve">     </w:t>
            </w:r>
            <w:proofErr w:type="spellStart"/>
            <w:r>
              <w:rPr>
                <w:rFonts w:ascii="Cambria" w:hAnsi="Cambria" w:cs="Arial"/>
                <w:sz w:val="18"/>
                <w:szCs w:val="18"/>
              </w:rPr>
              <w:t>Ημ</w:t>
            </w:r>
            <w:proofErr w:type="spellEnd"/>
            <w:r>
              <w:rPr>
                <w:rFonts w:ascii="Cambria" w:hAnsi="Cambria" w:cs="Arial"/>
                <w:sz w:val="18"/>
                <w:szCs w:val="18"/>
              </w:rPr>
              <w:t>/</w:t>
            </w:r>
            <w:proofErr w:type="spellStart"/>
            <w:r>
              <w:rPr>
                <w:rFonts w:ascii="Cambria" w:hAnsi="Cambria" w:cs="Arial"/>
                <w:sz w:val="18"/>
                <w:szCs w:val="18"/>
              </w:rPr>
              <w:t>νία</w:t>
            </w:r>
            <w:proofErr w:type="spellEnd"/>
            <w:r>
              <w:rPr>
                <w:rFonts w:ascii="Cambria" w:hAnsi="Cambria" w:cs="Arial"/>
                <w:sz w:val="18"/>
                <w:szCs w:val="18"/>
              </w:rPr>
              <w:t xml:space="preserve"> </w:t>
            </w:r>
          </w:p>
          <w:p w:rsidR="001B1F39" w:rsidRDefault="001B1F39">
            <w:pPr>
              <w:spacing w:after="0" w:line="240" w:lineRule="auto"/>
              <w:jc w:val="both"/>
              <w:rPr>
                <w:rFonts w:ascii="Cambria" w:hAnsi="Cambria" w:cs="Arial"/>
              </w:rPr>
            </w:pPr>
            <w:r>
              <w:rPr>
                <w:rFonts w:ascii="Cambria" w:hAnsi="Cambria" w:cs="Arial"/>
                <w:sz w:val="18"/>
                <w:szCs w:val="18"/>
              </w:rPr>
              <w:t>μετακίνησης</w:t>
            </w:r>
          </w:p>
        </w:tc>
        <w:tc>
          <w:tcPr>
            <w:tcW w:w="0" w:type="auto"/>
            <w:tcBorders>
              <w:top w:val="single" w:sz="4" w:space="0" w:color="000000"/>
              <w:left w:val="single" w:sz="4" w:space="0" w:color="000000"/>
              <w:bottom w:val="single" w:sz="4" w:space="0" w:color="000000"/>
              <w:right w:val="single" w:sz="4" w:space="0" w:color="000000"/>
            </w:tcBorders>
          </w:tcPr>
          <w:p w:rsidR="001B1F39" w:rsidRDefault="001B1F39">
            <w:pPr>
              <w:spacing w:after="0" w:line="240" w:lineRule="auto"/>
              <w:jc w:val="both"/>
              <w:rPr>
                <w:rFonts w:ascii="Cambria" w:hAnsi="Cambria" w:cs="Arial"/>
                <w:sz w:val="18"/>
                <w:szCs w:val="18"/>
              </w:rPr>
            </w:pPr>
            <w:r>
              <w:rPr>
                <w:rFonts w:ascii="Cambria" w:hAnsi="Cambria" w:cs="Arial"/>
                <w:sz w:val="18"/>
                <w:szCs w:val="18"/>
              </w:rPr>
              <w:t xml:space="preserve">  Προορισμός</w:t>
            </w:r>
          </w:p>
          <w:p w:rsidR="001B1F39" w:rsidRDefault="001B1F39">
            <w:pPr>
              <w:spacing w:after="0" w:line="240" w:lineRule="auto"/>
              <w:jc w:val="both"/>
              <w:rPr>
                <w:rFonts w:ascii="Cambria" w:hAnsi="Cambria" w:cs="Arial"/>
                <w:sz w:val="18"/>
                <w:szCs w:val="18"/>
              </w:rPr>
            </w:pPr>
          </w:p>
        </w:tc>
        <w:tc>
          <w:tcPr>
            <w:tcW w:w="0" w:type="auto"/>
            <w:tcBorders>
              <w:top w:val="single" w:sz="4" w:space="0" w:color="000000"/>
              <w:left w:val="single" w:sz="4" w:space="0" w:color="000000"/>
              <w:bottom w:val="single" w:sz="4" w:space="0" w:color="000000"/>
              <w:right w:val="single" w:sz="4" w:space="0" w:color="000000"/>
            </w:tcBorders>
            <w:hideMark/>
          </w:tcPr>
          <w:p w:rsidR="001B1F39" w:rsidRDefault="001B1F39">
            <w:pPr>
              <w:spacing w:after="0" w:line="240" w:lineRule="auto"/>
              <w:jc w:val="both"/>
              <w:rPr>
                <w:rFonts w:ascii="Cambria" w:hAnsi="Cambria" w:cs="Arial"/>
                <w:sz w:val="18"/>
                <w:szCs w:val="18"/>
              </w:rPr>
            </w:pPr>
            <w:r>
              <w:rPr>
                <w:rFonts w:ascii="Cambria" w:hAnsi="Cambria" w:cs="Arial"/>
                <w:sz w:val="18"/>
                <w:szCs w:val="18"/>
              </w:rPr>
              <w:t xml:space="preserve"> Δαπάνη </w:t>
            </w:r>
          </w:p>
          <w:p w:rsidR="001B1F39" w:rsidRDefault="001B1F39">
            <w:pPr>
              <w:spacing w:after="0" w:line="240" w:lineRule="auto"/>
              <w:jc w:val="both"/>
              <w:rPr>
                <w:rFonts w:ascii="Cambria" w:hAnsi="Cambria" w:cs="Arial"/>
                <w:sz w:val="18"/>
                <w:szCs w:val="18"/>
              </w:rPr>
            </w:pPr>
            <w:r>
              <w:rPr>
                <w:rFonts w:ascii="Cambria" w:hAnsi="Cambria" w:cs="Arial"/>
                <w:sz w:val="18"/>
                <w:szCs w:val="18"/>
              </w:rPr>
              <w:t xml:space="preserve">Διοδίων  </w:t>
            </w:r>
          </w:p>
        </w:tc>
        <w:tc>
          <w:tcPr>
            <w:tcW w:w="1074" w:type="dxa"/>
            <w:tcBorders>
              <w:top w:val="single" w:sz="4" w:space="0" w:color="000000"/>
              <w:left w:val="single" w:sz="4" w:space="0" w:color="000000"/>
              <w:bottom w:val="single" w:sz="4" w:space="0" w:color="000000"/>
              <w:right w:val="single" w:sz="4" w:space="0" w:color="000000"/>
            </w:tcBorders>
            <w:hideMark/>
          </w:tcPr>
          <w:p w:rsidR="001B1F39" w:rsidRDefault="001B1F39">
            <w:pPr>
              <w:spacing w:after="0" w:line="240" w:lineRule="auto"/>
              <w:jc w:val="both"/>
              <w:rPr>
                <w:rFonts w:ascii="Cambria" w:hAnsi="Cambria" w:cs="Arial"/>
                <w:sz w:val="18"/>
                <w:szCs w:val="18"/>
              </w:rPr>
            </w:pPr>
            <w:r>
              <w:rPr>
                <w:rFonts w:ascii="Cambria" w:hAnsi="Cambria" w:cs="Arial"/>
                <w:sz w:val="18"/>
                <w:szCs w:val="18"/>
              </w:rPr>
              <w:t>Δαπάνη</w:t>
            </w:r>
          </w:p>
          <w:p w:rsidR="001B1F39" w:rsidRDefault="001B1F39">
            <w:pPr>
              <w:spacing w:after="0" w:line="240" w:lineRule="auto"/>
              <w:jc w:val="both"/>
              <w:rPr>
                <w:rFonts w:ascii="Cambria" w:hAnsi="Cambria" w:cs="Arial"/>
                <w:sz w:val="18"/>
                <w:szCs w:val="18"/>
              </w:rPr>
            </w:pPr>
            <w:r>
              <w:rPr>
                <w:rFonts w:ascii="Cambria" w:hAnsi="Cambria" w:cs="Arial"/>
                <w:sz w:val="18"/>
                <w:szCs w:val="18"/>
              </w:rPr>
              <w:t>Εισιτηρίων</w:t>
            </w:r>
          </w:p>
        </w:tc>
        <w:tc>
          <w:tcPr>
            <w:tcW w:w="1250" w:type="dxa"/>
            <w:tcBorders>
              <w:top w:val="single" w:sz="4" w:space="0" w:color="000000"/>
              <w:left w:val="single" w:sz="4" w:space="0" w:color="000000"/>
              <w:bottom w:val="single" w:sz="4" w:space="0" w:color="000000"/>
              <w:right w:val="single" w:sz="4" w:space="0" w:color="000000"/>
            </w:tcBorders>
            <w:hideMark/>
          </w:tcPr>
          <w:p w:rsidR="001B1F39" w:rsidRDefault="001B1F39">
            <w:pPr>
              <w:spacing w:after="0" w:line="240" w:lineRule="auto"/>
              <w:jc w:val="both"/>
              <w:rPr>
                <w:rFonts w:ascii="Cambria" w:hAnsi="Cambria" w:cs="Arial"/>
                <w:sz w:val="18"/>
                <w:szCs w:val="18"/>
              </w:rPr>
            </w:pPr>
            <w:r>
              <w:rPr>
                <w:rFonts w:ascii="Cambria" w:hAnsi="Cambria" w:cs="Arial"/>
                <w:sz w:val="18"/>
                <w:szCs w:val="18"/>
              </w:rPr>
              <w:t xml:space="preserve">  Δαπάνη</w:t>
            </w:r>
          </w:p>
          <w:p w:rsidR="001B1F39" w:rsidRDefault="001B1F39">
            <w:pPr>
              <w:spacing w:after="0" w:line="240" w:lineRule="auto"/>
              <w:jc w:val="both"/>
              <w:rPr>
                <w:rFonts w:ascii="Cambria" w:hAnsi="Cambria" w:cs="Arial"/>
                <w:sz w:val="18"/>
                <w:szCs w:val="18"/>
              </w:rPr>
            </w:pPr>
            <w:r>
              <w:rPr>
                <w:rFonts w:ascii="Cambria" w:hAnsi="Cambria" w:cs="Arial"/>
                <w:sz w:val="18"/>
                <w:szCs w:val="18"/>
              </w:rPr>
              <w:t xml:space="preserve">ημερήσιας </w:t>
            </w:r>
          </w:p>
          <w:p w:rsidR="001B1F39" w:rsidRDefault="001B1F39">
            <w:pPr>
              <w:spacing w:after="0" w:line="240" w:lineRule="auto"/>
              <w:jc w:val="both"/>
              <w:rPr>
                <w:rFonts w:ascii="Cambria" w:hAnsi="Cambria" w:cs="Arial"/>
                <w:sz w:val="18"/>
                <w:szCs w:val="18"/>
              </w:rPr>
            </w:pPr>
            <w:r>
              <w:rPr>
                <w:rFonts w:ascii="Cambria" w:hAnsi="Cambria" w:cs="Arial"/>
                <w:sz w:val="18"/>
                <w:szCs w:val="18"/>
              </w:rPr>
              <w:t>αποζημίωσης</w:t>
            </w:r>
          </w:p>
        </w:tc>
        <w:tc>
          <w:tcPr>
            <w:tcW w:w="0" w:type="auto"/>
            <w:tcBorders>
              <w:top w:val="single" w:sz="4" w:space="0" w:color="000000"/>
              <w:left w:val="single" w:sz="4" w:space="0" w:color="000000"/>
              <w:bottom w:val="single" w:sz="4" w:space="0" w:color="000000"/>
              <w:right w:val="single" w:sz="4" w:space="0" w:color="000000"/>
            </w:tcBorders>
            <w:hideMark/>
          </w:tcPr>
          <w:p w:rsidR="001B1F39" w:rsidRDefault="001B1F39">
            <w:pPr>
              <w:spacing w:after="0" w:line="240" w:lineRule="auto"/>
              <w:jc w:val="both"/>
              <w:rPr>
                <w:rFonts w:ascii="Cambria" w:hAnsi="Cambria" w:cs="Arial"/>
                <w:sz w:val="18"/>
                <w:szCs w:val="18"/>
              </w:rPr>
            </w:pPr>
            <w:r>
              <w:rPr>
                <w:rFonts w:ascii="Cambria" w:hAnsi="Cambria" w:cs="Arial"/>
                <w:sz w:val="18"/>
                <w:szCs w:val="18"/>
              </w:rPr>
              <w:t xml:space="preserve">      Δαπάνη</w:t>
            </w:r>
          </w:p>
          <w:p w:rsidR="001B1F39" w:rsidRDefault="001B1F39">
            <w:pPr>
              <w:spacing w:after="0" w:line="240" w:lineRule="auto"/>
              <w:jc w:val="both"/>
              <w:rPr>
                <w:rFonts w:ascii="Cambria" w:hAnsi="Cambria" w:cs="Arial"/>
                <w:sz w:val="18"/>
                <w:szCs w:val="18"/>
              </w:rPr>
            </w:pPr>
            <w:r>
              <w:rPr>
                <w:rFonts w:ascii="Cambria" w:hAnsi="Cambria" w:cs="Arial"/>
                <w:sz w:val="18"/>
                <w:szCs w:val="18"/>
              </w:rPr>
              <w:t>διανυκτέρευσης</w:t>
            </w:r>
          </w:p>
        </w:tc>
        <w:tc>
          <w:tcPr>
            <w:tcW w:w="0" w:type="auto"/>
            <w:tcBorders>
              <w:top w:val="single" w:sz="4" w:space="0" w:color="000000"/>
              <w:left w:val="single" w:sz="4" w:space="0" w:color="000000"/>
              <w:bottom w:val="single" w:sz="4" w:space="0" w:color="000000"/>
              <w:right w:val="single" w:sz="4" w:space="0" w:color="000000"/>
            </w:tcBorders>
            <w:hideMark/>
          </w:tcPr>
          <w:p w:rsidR="001B1F39" w:rsidRDefault="001B1F39">
            <w:pPr>
              <w:spacing w:after="0" w:line="240" w:lineRule="auto"/>
              <w:jc w:val="both"/>
              <w:rPr>
                <w:rFonts w:ascii="Cambria" w:hAnsi="Cambria" w:cs="Arial"/>
                <w:b/>
                <w:sz w:val="18"/>
                <w:szCs w:val="18"/>
              </w:rPr>
            </w:pPr>
            <w:r>
              <w:rPr>
                <w:rFonts w:ascii="Cambria" w:hAnsi="Cambria" w:cs="Arial"/>
                <w:b/>
                <w:sz w:val="18"/>
                <w:szCs w:val="18"/>
              </w:rPr>
              <w:t xml:space="preserve">ΣΥΝΟΛΙΚΗ </w:t>
            </w:r>
          </w:p>
          <w:p w:rsidR="001B1F39" w:rsidRDefault="001B1F39">
            <w:pPr>
              <w:spacing w:after="0" w:line="240" w:lineRule="auto"/>
              <w:jc w:val="both"/>
              <w:rPr>
                <w:rFonts w:ascii="Cambria" w:hAnsi="Cambria" w:cs="Arial"/>
              </w:rPr>
            </w:pPr>
            <w:r>
              <w:rPr>
                <w:rFonts w:ascii="Cambria" w:hAnsi="Cambria" w:cs="Arial"/>
                <w:b/>
                <w:sz w:val="18"/>
                <w:szCs w:val="18"/>
              </w:rPr>
              <w:t xml:space="preserve">  ΔΑΠΑΝΗ</w:t>
            </w:r>
          </w:p>
        </w:tc>
      </w:tr>
      <w:tr w:rsidR="001B1F39" w:rsidTr="001B1F39">
        <w:trPr>
          <w:trHeight w:val="315"/>
          <w:jc w:val="center"/>
        </w:trPr>
        <w:tc>
          <w:tcPr>
            <w:tcW w:w="0" w:type="auto"/>
            <w:tcBorders>
              <w:top w:val="single" w:sz="4" w:space="0" w:color="000000"/>
              <w:left w:val="single" w:sz="4" w:space="0" w:color="000000"/>
              <w:bottom w:val="single" w:sz="4" w:space="0" w:color="000000"/>
              <w:right w:val="single" w:sz="4" w:space="0" w:color="000000"/>
            </w:tcBorders>
            <w:hideMark/>
          </w:tcPr>
          <w:p w:rsidR="001B1F39" w:rsidRDefault="001B1F39">
            <w:pPr>
              <w:spacing w:after="0" w:line="240" w:lineRule="auto"/>
              <w:jc w:val="center"/>
              <w:rPr>
                <w:rFonts w:ascii="Cambria" w:hAnsi="Cambria" w:cs="Arial"/>
                <w:sz w:val="18"/>
                <w:szCs w:val="18"/>
                <w:lang w:val="en-US"/>
              </w:rPr>
            </w:pPr>
            <w:r>
              <w:rPr>
                <w:rFonts w:ascii="Cambria" w:hAnsi="Cambria" w:cs="Arial"/>
                <w:sz w:val="18"/>
                <w:szCs w:val="18"/>
              </w:rPr>
              <w:t>23</w:t>
            </w:r>
            <w:r>
              <w:rPr>
                <w:rFonts w:ascii="Cambria" w:hAnsi="Cambria" w:cs="Arial"/>
                <w:sz w:val="18"/>
                <w:szCs w:val="18"/>
                <w:lang w:val="en-US"/>
              </w:rPr>
              <w:t>-0</w:t>
            </w:r>
            <w:r>
              <w:rPr>
                <w:rFonts w:ascii="Cambria" w:hAnsi="Cambria" w:cs="Arial"/>
                <w:sz w:val="18"/>
                <w:szCs w:val="18"/>
              </w:rPr>
              <w:t>9</w:t>
            </w:r>
            <w:r>
              <w:rPr>
                <w:rFonts w:ascii="Cambria" w:hAnsi="Cambria" w:cs="Arial"/>
                <w:sz w:val="18"/>
                <w:szCs w:val="18"/>
                <w:lang w:val="en-US"/>
              </w:rPr>
              <w:t>-2020</w:t>
            </w:r>
          </w:p>
        </w:tc>
        <w:tc>
          <w:tcPr>
            <w:tcW w:w="0" w:type="auto"/>
            <w:tcBorders>
              <w:top w:val="single" w:sz="4" w:space="0" w:color="000000"/>
              <w:left w:val="single" w:sz="4" w:space="0" w:color="000000"/>
              <w:bottom w:val="single" w:sz="4" w:space="0" w:color="000000"/>
              <w:right w:val="single" w:sz="4" w:space="0" w:color="000000"/>
            </w:tcBorders>
          </w:tcPr>
          <w:p w:rsidR="001B1F39" w:rsidRDefault="001B1F39">
            <w:pPr>
              <w:spacing w:after="0" w:line="240" w:lineRule="auto"/>
              <w:rPr>
                <w:rFonts w:ascii="Cambria" w:hAnsi="Cambria" w:cs="Arial"/>
                <w:sz w:val="18"/>
                <w:szCs w:val="18"/>
              </w:rPr>
            </w:pPr>
            <w:r>
              <w:rPr>
                <w:rFonts w:ascii="Cambria" w:hAnsi="Cambria" w:cs="Arial"/>
                <w:sz w:val="18"/>
                <w:szCs w:val="18"/>
              </w:rPr>
              <w:t xml:space="preserve">ΝΑΟΥΣΑ-ΑΘΗΝΑ </w:t>
            </w:r>
          </w:p>
          <w:p w:rsidR="001B1F39" w:rsidRDefault="001B1F39">
            <w:pPr>
              <w:spacing w:after="0" w:line="240" w:lineRule="auto"/>
              <w:rPr>
                <w:rFonts w:ascii="Cambria" w:hAnsi="Cambria" w:cs="Arial"/>
                <w:sz w:val="18"/>
                <w:szCs w:val="18"/>
              </w:rPr>
            </w:pPr>
          </w:p>
        </w:tc>
        <w:tc>
          <w:tcPr>
            <w:tcW w:w="0" w:type="auto"/>
            <w:tcBorders>
              <w:top w:val="single" w:sz="4" w:space="0" w:color="000000"/>
              <w:left w:val="single" w:sz="4" w:space="0" w:color="000000"/>
              <w:bottom w:val="single" w:sz="4" w:space="0" w:color="000000"/>
              <w:right w:val="single" w:sz="4" w:space="0" w:color="000000"/>
            </w:tcBorders>
            <w:hideMark/>
          </w:tcPr>
          <w:p w:rsidR="001B1F39" w:rsidRDefault="001B1F39">
            <w:pPr>
              <w:spacing w:after="0" w:line="240" w:lineRule="auto"/>
              <w:jc w:val="both"/>
              <w:rPr>
                <w:rFonts w:ascii="Cambria" w:hAnsi="Cambria" w:cs="Arial"/>
                <w:sz w:val="18"/>
                <w:szCs w:val="18"/>
              </w:rPr>
            </w:pPr>
            <w:r>
              <w:rPr>
                <w:rFonts w:ascii="Cambria" w:hAnsi="Cambria" w:cs="Arial"/>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1B1F39" w:rsidRDefault="001B1F39">
            <w:pPr>
              <w:spacing w:after="0" w:line="240" w:lineRule="auto"/>
              <w:jc w:val="both"/>
              <w:rPr>
                <w:rFonts w:ascii="Cambria" w:hAnsi="Cambria" w:cs="Arial"/>
                <w:sz w:val="18"/>
                <w:szCs w:val="18"/>
                <w:lang w:val="en-US"/>
              </w:rPr>
            </w:pPr>
            <w:r>
              <w:rPr>
                <w:rFonts w:ascii="Cambria" w:hAnsi="Cambria" w:cs="Arial"/>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1B1F39" w:rsidRDefault="001B1F39">
            <w:pPr>
              <w:spacing w:after="0" w:line="240" w:lineRule="auto"/>
              <w:jc w:val="center"/>
              <w:rPr>
                <w:rFonts w:ascii="Cambria" w:hAnsi="Cambria" w:cs="Arial"/>
                <w:sz w:val="18"/>
                <w:szCs w:val="18"/>
              </w:rPr>
            </w:pPr>
            <w:r>
              <w:rPr>
                <w:rFonts w:ascii="Cambria" w:hAnsi="Cambria" w:cs="Arial"/>
                <w:sz w:val="18"/>
                <w:szCs w:val="18"/>
              </w:rPr>
              <w:t>40,00</w:t>
            </w:r>
          </w:p>
        </w:tc>
        <w:tc>
          <w:tcPr>
            <w:tcW w:w="0" w:type="auto"/>
            <w:tcBorders>
              <w:top w:val="single" w:sz="4" w:space="0" w:color="000000"/>
              <w:left w:val="single" w:sz="4" w:space="0" w:color="000000"/>
              <w:bottom w:val="single" w:sz="4" w:space="0" w:color="000000"/>
              <w:right w:val="single" w:sz="4" w:space="0" w:color="000000"/>
            </w:tcBorders>
            <w:hideMark/>
          </w:tcPr>
          <w:p w:rsidR="001B1F39" w:rsidRDefault="001B1F39">
            <w:pPr>
              <w:spacing w:after="0" w:line="240" w:lineRule="auto"/>
              <w:jc w:val="both"/>
              <w:rPr>
                <w:rFonts w:ascii="Cambria" w:hAnsi="Cambria" w:cs="Arial"/>
                <w:sz w:val="18"/>
                <w:szCs w:val="18"/>
                <w:lang w:val="en-US"/>
              </w:rPr>
            </w:pPr>
            <w:r>
              <w:rPr>
                <w:rFonts w:ascii="Cambria" w:hAnsi="Cambria" w:cs="Arial"/>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1B1F39" w:rsidRDefault="001B1F39">
            <w:pPr>
              <w:spacing w:after="0" w:line="240" w:lineRule="auto"/>
              <w:jc w:val="both"/>
              <w:rPr>
                <w:rFonts w:ascii="Cambria" w:hAnsi="Cambria" w:cs="Arial"/>
                <w:sz w:val="18"/>
                <w:szCs w:val="18"/>
                <w:lang w:val="en-US"/>
              </w:rPr>
            </w:pPr>
            <w:r>
              <w:rPr>
                <w:rFonts w:ascii="Cambria" w:hAnsi="Cambria" w:cs="Arial"/>
                <w:sz w:val="18"/>
                <w:szCs w:val="18"/>
              </w:rPr>
              <w:t xml:space="preserve">   </w:t>
            </w:r>
          </w:p>
        </w:tc>
      </w:tr>
      <w:tr w:rsidR="001B1F39" w:rsidTr="001B1F39">
        <w:trPr>
          <w:trHeight w:val="239"/>
          <w:jc w:val="center"/>
        </w:trPr>
        <w:tc>
          <w:tcPr>
            <w:tcW w:w="0" w:type="auto"/>
            <w:tcBorders>
              <w:top w:val="single" w:sz="4" w:space="0" w:color="000000"/>
              <w:left w:val="single" w:sz="4" w:space="0" w:color="000000"/>
              <w:bottom w:val="single" w:sz="4" w:space="0" w:color="000000"/>
              <w:right w:val="single" w:sz="4" w:space="0" w:color="000000"/>
            </w:tcBorders>
            <w:hideMark/>
          </w:tcPr>
          <w:p w:rsidR="001B1F39" w:rsidRDefault="001B1F39">
            <w:pPr>
              <w:spacing w:after="0" w:line="240" w:lineRule="auto"/>
              <w:jc w:val="both"/>
              <w:rPr>
                <w:rFonts w:ascii="Cambria" w:hAnsi="Cambria" w:cs="Arial"/>
                <w:sz w:val="20"/>
                <w:szCs w:val="20"/>
                <w:lang w:val="en-US"/>
              </w:rPr>
            </w:pPr>
            <w:r>
              <w:rPr>
                <w:rFonts w:ascii="Cambria" w:hAnsi="Cambria" w:cs="Arial"/>
                <w:sz w:val="20"/>
                <w:szCs w:val="20"/>
              </w:rPr>
              <w:t>24</w:t>
            </w:r>
            <w:r>
              <w:rPr>
                <w:rFonts w:ascii="Cambria" w:hAnsi="Cambria" w:cs="Arial"/>
                <w:sz w:val="20"/>
                <w:szCs w:val="20"/>
                <w:lang w:val="en-US"/>
              </w:rPr>
              <w:t>-0</w:t>
            </w:r>
            <w:r>
              <w:rPr>
                <w:rFonts w:ascii="Cambria" w:hAnsi="Cambria" w:cs="Arial"/>
                <w:sz w:val="20"/>
                <w:szCs w:val="20"/>
              </w:rPr>
              <w:t>9</w:t>
            </w:r>
            <w:r>
              <w:rPr>
                <w:rFonts w:ascii="Cambria" w:hAnsi="Cambria" w:cs="Arial"/>
                <w:sz w:val="20"/>
                <w:szCs w:val="20"/>
                <w:lang w:val="en-US"/>
              </w:rPr>
              <w:t>-2020</w:t>
            </w:r>
          </w:p>
        </w:tc>
        <w:tc>
          <w:tcPr>
            <w:tcW w:w="0" w:type="auto"/>
            <w:tcBorders>
              <w:top w:val="single" w:sz="4" w:space="0" w:color="000000"/>
              <w:left w:val="single" w:sz="4" w:space="0" w:color="000000"/>
              <w:bottom w:val="single" w:sz="4" w:space="0" w:color="000000"/>
              <w:right w:val="single" w:sz="4" w:space="0" w:color="000000"/>
            </w:tcBorders>
            <w:hideMark/>
          </w:tcPr>
          <w:p w:rsidR="001B1F39" w:rsidRDefault="001B1F39">
            <w:pPr>
              <w:spacing w:after="0" w:line="240" w:lineRule="auto"/>
              <w:jc w:val="both"/>
              <w:rPr>
                <w:rFonts w:ascii="Cambria" w:hAnsi="Cambria" w:cs="Arial"/>
              </w:rPr>
            </w:pPr>
            <w:r>
              <w:rPr>
                <w:rFonts w:ascii="Cambria" w:hAnsi="Cambria" w:cs="Arial"/>
                <w:sz w:val="18"/>
                <w:szCs w:val="18"/>
              </w:rPr>
              <w:t>ΑΘΗΝΑ- ΝΑΟΥΣΑ</w:t>
            </w:r>
          </w:p>
        </w:tc>
        <w:tc>
          <w:tcPr>
            <w:tcW w:w="0" w:type="auto"/>
            <w:tcBorders>
              <w:top w:val="single" w:sz="4" w:space="0" w:color="000000"/>
              <w:left w:val="single" w:sz="4" w:space="0" w:color="000000"/>
              <w:bottom w:val="single" w:sz="4" w:space="0" w:color="000000"/>
              <w:right w:val="single" w:sz="4" w:space="0" w:color="000000"/>
            </w:tcBorders>
          </w:tcPr>
          <w:p w:rsidR="001B1F39" w:rsidRDefault="001B1F39">
            <w:pPr>
              <w:spacing w:after="0" w:line="240" w:lineRule="auto"/>
              <w:jc w:val="both"/>
              <w:rPr>
                <w:rFonts w:ascii="Cambria" w:hAnsi="Cambria" w:cs="Arial"/>
              </w:rPr>
            </w:pPr>
          </w:p>
        </w:tc>
        <w:tc>
          <w:tcPr>
            <w:tcW w:w="0" w:type="auto"/>
            <w:tcBorders>
              <w:top w:val="single" w:sz="4" w:space="0" w:color="000000"/>
              <w:left w:val="single" w:sz="4" w:space="0" w:color="000000"/>
              <w:bottom w:val="single" w:sz="4" w:space="0" w:color="000000"/>
              <w:right w:val="single" w:sz="4" w:space="0" w:color="000000"/>
            </w:tcBorders>
          </w:tcPr>
          <w:p w:rsidR="001B1F39" w:rsidRDefault="001B1F39">
            <w:pPr>
              <w:spacing w:after="0" w:line="240" w:lineRule="auto"/>
              <w:jc w:val="both"/>
              <w:rPr>
                <w:rFonts w:ascii="Cambria" w:hAnsi="Cambria" w:cs="Arial"/>
              </w:rPr>
            </w:pPr>
          </w:p>
        </w:tc>
        <w:tc>
          <w:tcPr>
            <w:tcW w:w="0" w:type="auto"/>
            <w:tcBorders>
              <w:top w:val="single" w:sz="4" w:space="0" w:color="000000"/>
              <w:left w:val="single" w:sz="4" w:space="0" w:color="000000"/>
              <w:bottom w:val="single" w:sz="4" w:space="0" w:color="000000"/>
              <w:right w:val="single" w:sz="4" w:space="0" w:color="000000"/>
            </w:tcBorders>
            <w:hideMark/>
          </w:tcPr>
          <w:p w:rsidR="001B1F39" w:rsidRDefault="001B1F39">
            <w:pPr>
              <w:spacing w:after="0" w:line="240" w:lineRule="auto"/>
              <w:jc w:val="center"/>
              <w:rPr>
                <w:rFonts w:ascii="Cambria" w:hAnsi="Cambria" w:cs="Arial"/>
                <w:sz w:val="18"/>
                <w:szCs w:val="18"/>
                <w:lang w:val="en-US"/>
              </w:rPr>
            </w:pPr>
            <w:r>
              <w:rPr>
                <w:rFonts w:ascii="Cambria" w:hAnsi="Cambria" w:cs="Arial"/>
                <w:sz w:val="18"/>
                <w:szCs w:val="18"/>
                <w:lang w:val="en-US"/>
              </w:rPr>
              <w:t>40,00</w:t>
            </w:r>
          </w:p>
        </w:tc>
        <w:tc>
          <w:tcPr>
            <w:tcW w:w="0" w:type="auto"/>
            <w:tcBorders>
              <w:top w:val="single" w:sz="4" w:space="0" w:color="000000"/>
              <w:left w:val="single" w:sz="4" w:space="0" w:color="000000"/>
              <w:bottom w:val="single" w:sz="4" w:space="0" w:color="000000"/>
              <w:right w:val="single" w:sz="4" w:space="0" w:color="000000"/>
            </w:tcBorders>
          </w:tcPr>
          <w:p w:rsidR="001B1F39" w:rsidRDefault="001B1F39">
            <w:pPr>
              <w:spacing w:after="0" w:line="240" w:lineRule="auto"/>
              <w:jc w:val="both"/>
              <w:rPr>
                <w:rFonts w:ascii="Cambria" w:hAnsi="Cambria" w:cs="Arial"/>
              </w:rPr>
            </w:pPr>
          </w:p>
        </w:tc>
        <w:tc>
          <w:tcPr>
            <w:tcW w:w="0" w:type="auto"/>
            <w:tcBorders>
              <w:top w:val="single" w:sz="4" w:space="0" w:color="000000"/>
              <w:left w:val="single" w:sz="4" w:space="0" w:color="000000"/>
              <w:bottom w:val="single" w:sz="4" w:space="0" w:color="000000"/>
              <w:right w:val="single" w:sz="4" w:space="0" w:color="000000"/>
            </w:tcBorders>
          </w:tcPr>
          <w:p w:rsidR="001B1F39" w:rsidRDefault="001B1F39">
            <w:pPr>
              <w:spacing w:after="0" w:line="240" w:lineRule="auto"/>
              <w:jc w:val="both"/>
              <w:rPr>
                <w:rFonts w:ascii="Cambria" w:hAnsi="Cambria" w:cs="Arial"/>
                <w:sz w:val="18"/>
                <w:szCs w:val="18"/>
              </w:rPr>
            </w:pPr>
          </w:p>
        </w:tc>
      </w:tr>
      <w:tr w:rsidR="001B1F39" w:rsidTr="001B1F39">
        <w:trPr>
          <w:trHeight w:val="128"/>
          <w:jc w:val="center"/>
        </w:trPr>
        <w:tc>
          <w:tcPr>
            <w:tcW w:w="0" w:type="auto"/>
            <w:tcBorders>
              <w:top w:val="single" w:sz="4" w:space="0" w:color="000000"/>
              <w:left w:val="single" w:sz="4" w:space="0" w:color="000000"/>
              <w:bottom w:val="single" w:sz="4" w:space="0" w:color="000000"/>
              <w:right w:val="single" w:sz="4" w:space="0" w:color="000000"/>
            </w:tcBorders>
          </w:tcPr>
          <w:p w:rsidR="001B1F39" w:rsidRDefault="001B1F39">
            <w:pPr>
              <w:spacing w:after="0" w:line="240" w:lineRule="auto"/>
              <w:jc w:val="both"/>
              <w:rPr>
                <w:rFonts w:ascii="Cambria" w:hAnsi="Cambria" w:cs="Arial"/>
              </w:rPr>
            </w:pPr>
          </w:p>
        </w:tc>
        <w:tc>
          <w:tcPr>
            <w:tcW w:w="0" w:type="auto"/>
            <w:tcBorders>
              <w:top w:val="single" w:sz="4" w:space="0" w:color="000000"/>
              <w:left w:val="single" w:sz="4" w:space="0" w:color="000000"/>
              <w:bottom w:val="single" w:sz="4" w:space="0" w:color="000000"/>
              <w:right w:val="single" w:sz="4" w:space="0" w:color="000000"/>
            </w:tcBorders>
          </w:tcPr>
          <w:p w:rsidR="001B1F39" w:rsidRDefault="001B1F39">
            <w:pPr>
              <w:spacing w:after="0" w:line="240" w:lineRule="auto"/>
              <w:jc w:val="both"/>
              <w:rPr>
                <w:rFonts w:ascii="Cambria" w:hAnsi="Cambria" w:cs="Arial"/>
              </w:rPr>
            </w:pPr>
          </w:p>
        </w:tc>
        <w:tc>
          <w:tcPr>
            <w:tcW w:w="0" w:type="auto"/>
            <w:tcBorders>
              <w:top w:val="single" w:sz="4" w:space="0" w:color="000000"/>
              <w:left w:val="single" w:sz="4" w:space="0" w:color="000000"/>
              <w:bottom w:val="single" w:sz="4" w:space="0" w:color="000000"/>
              <w:right w:val="single" w:sz="4" w:space="0" w:color="000000"/>
            </w:tcBorders>
          </w:tcPr>
          <w:p w:rsidR="001B1F39" w:rsidRDefault="001B1F39">
            <w:pPr>
              <w:spacing w:after="0" w:line="240" w:lineRule="auto"/>
              <w:jc w:val="both"/>
              <w:rPr>
                <w:rFonts w:ascii="Cambria" w:hAnsi="Cambria" w:cs="Arial"/>
              </w:rPr>
            </w:pPr>
          </w:p>
        </w:tc>
        <w:tc>
          <w:tcPr>
            <w:tcW w:w="0" w:type="auto"/>
            <w:tcBorders>
              <w:top w:val="single" w:sz="4" w:space="0" w:color="000000"/>
              <w:left w:val="single" w:sz="4" w:space="0" w:color="000000"/>
              <w:bottom w:val="single" w:sz="4" w:space="0" w:color="000000"/>
              <w:right w:val="single" w:sz="4" w:space="0" w:color="000000"/>
            </w:tcBorders>
          </w:tcPr>
          <w:p w:rsidR="001B1F39" w:rsidRDefault="001B1F39">
            <w:pPr>
              <w:spacing w:after="0" w:line="240" w:lineRule="auto"/>
              <w:jc w:val="both"/>
              <w:rPr>
                <w:rFonts w:ascii="Cambria" w:hAnsi="Cambria" w:cs="Arial"/>
              </w:rPr>
            </w:pPr>
          </w:p>
        </w:tc>
        <w:tc>
          <w:tcPr>
            <w:tcW w:w="0" w:type="auto"/>
            <w:tcBorders>
              <w:top w:val="single" w:sz="4" w:space="0" w:color="000000"/>
              <w:left w:val="single" w:sz="4" w:space="0" w:color="000000"/>
              <w:bottom w:val="single" w:sz="4" w:space="0" w:color="000000"/>
              <w:right w:val="single" w:sz="4" w:space="0" w:color="000000"/>
            </w:tcBorders>
          </w:tcPr>
          <w:p w:rsidR="001B1F39" w:rsidRDefault="001B1F39">
            <w:pPr>
              <w:spacing w:after="0" w:line="240" w:lineRule="auto"/>
              <w:jc w:val="both"/>
              <w:rPr>
                <w:rFonts w:ascii="Cambria" w:hAnsi="Cambria" w:cs="Arial"/>
              </w:rPr>
            </w:pPr>
          </w:p>
        </w:tc>
        <w:tc>
          <w:tcPr>
            <w:tcW w:w="0" w:type="auto"/>
            <w:tcBorders>
              <w:top w:val="single" w:sz="4" w:space="0" w:color="000000"/>
              <w:left w:val="single" w:sz="4" w:space="0" w:color="000000"/>
              <w:bottom w:val="single" w:sz="4" w:space="0" w:color="000000"/>
              <w:right w:val="single" w:sz="4" w:space="0" w:color="000000"/>
            </w:tcBorders>
          </w:tcPr>
          <w:p w:rsidR="001B1F39" w:rsidRDefault="001B1F39">
            <w:pPr>
              <w:spacing w:after="0" w:line="240" w:lineRule="auto"/>
              <w:jc w:val="both"/>
              <w:rPr>
                <w:rFonts w:ascii="Cambria" w:hAnsi="Cambria" w:cs="Arial"/>
              </w:rPr>
            </w:pPr>
          </w:p>
        </w:tc>
        <w:tc>
          <w:tcPr>
            <w:tcW w:w="0" w:type="auto"/>
            <w:tcBorders>
              <w:top w:val="single" w:sz="4" w:space="0" w:color="000000"/>
              <w:left w:val="single" w:sz="4" w:space="0" w:color="000000"/>
              <w:bottom w:val="single" w:sz="4" w:space="0" w:color="000000"/>
              <w:right w:val="single" w:sz="4" w:space="0" w:color="000000"/>
            </w:tcBorders>
          </w:tcPr>
          <w:p w:rsidR="001B1F39" w:rsidRDefault="001B1F39">
            <w:pPr>
              <w:spacing w:after="0" w:line="240" w:lineRule="auto"/>
              <w:jc w:val="both"/>
              <w:rPr>
                <w:rFonts w:ascii="Cambria" w:hAnsi="Cambria" w:cs="Arial"/>
                <w:sz w:val="18"/>
                <w:szCs w:val="18"/>
              </w:rPr>
            </w:pPr>
          </w:p>
        </w:tc>
      </w:tr>
      <w:tr w:rsidR="001B1F39" w:rsidTr="001B1F39">
        <w:trPr>
          <w:trHeight w:val="776"/>
          <w:jc w:val="center"/>
        </w:trPr>
        <w:tc>
          <w:tcPr>
            <w:tcW w:w="0" w:type="auto"/>
            <w:tcBorders>
              <w:top w:val="single" w:sz="4" w:space="0" w:color="000000"/>
              <w:left w:val="single" w:sz="4" w:space="0" w:color="000000"/>
              <w:bottom w:val="single" w:sz="4" w:space="0" w:color="000000"/>
              <w:right w:val="single" w:sz="4" w:space="0" w:color="000000"/>
            </w:tcBorders>
            <w:hideMark/>
          </w:tcPr>
          <w:p w:rsidR="001B1F39" w:rsidRDefault="001B1F39">
            <w:pPr>
              <w:spacing w:after="0" w:line="240" w:lineRule="auto"/>
              <w:jc w:val="both"/>
              <w:rPr>
                <w:rFonts w:ascii="Cambria" w:hAnsi="Cambria" w:cs="Arial"/>
                <w:b/>
                <w:sz w:val="18"/>
                <w:szCs w:val="18"/>
              </w:rPr>
            </w:pPr>
            <w:r>
              <w:rPr>
                <w:rFonts w:ascii="Cambria" w:hAnsi="Cambria" w:cs="Arial"/>
                <w:b/>
                <w:sz w:val="18"/>
                <w:szCs w:val="18"/>
              </w:rPr>
              <w:t>ΣΥΝΟΛΟ</w:t>
            </w:r>
          </w:p>
        </w:tc>
        <w:tc>
          <w:tcPr>
            <w:tcW w:w="0" w:type="auto"/>
            <w:tcBorders>
              <w:top w:val="single" w:sz="4" w:space="0" w:color="000000"/>
              <w:left w:val="single" w:sz="4" w:space="0" w:color="000000"/>
              <w:bottom w:val="single" w:sz="4" w:space="0" w:color="000000"/>
              <w:right w:val="single" w:sz="4" w:space="0" w:color="000000"/>
            </w:tcBorders>
          </w:tcPr>
          <w:p w:rsidR="001B1F39" w:rsidRDefault="001B1F39">
            <w:pPr>
              <w:spacing w:after="0" w:line="240" w:lineRule="auto"/>
              <w:jc w:val="both"/>
              <w:rPr>
                <w:rFonts w:ascii="Cambria" w:hAnsi="Cambria" w:cs="Arial"/>
              </w:rPr>
            </w:pPr>
          </w:p>
        </w:tc>
        <w:tc>
          <w:tcPr>
            <w:tcW w:w="0" w:type="auto"/>
            <w:tcBorders>
              <w:top w:val="single" w:sz="4" w:space="0" w:color="000000"/>
              <w:left w:val="single" w:sz="4" w:space="0" w:color="000000"/>
              <w:bottom w:val="single" w:sz="4" w:space="0" w:color="000000"/>
              <w:right w:val="single" w:sz="4" w:space="0" w:color="000000"/>
            </w:tcBorders>
            <w:hideMark/>
          </w:tcPr>
          <w:p w:rsidR="001B1F39" w:rsidRDefault="001B1F39">
            <w:pPr>
              <w:spacing w:after="0" w:line="240" w:lineRule="auto"/>
              <w:jc w:val="both"/>
              <w:rPr>
                <w:rFonts w:ascii="Cambria" w:hAnsi="Cambria" w:cs="Arial"/>
                <w:b/>
                <w:sz w:val="18"/>
                <w:szCs w:val="18"/>
              </w:rPr>
            </w:pPr>
            <w:r>
              <w:rPr>
                <w:rFonts w:ascii="Cambria" w:hAnsi="Cambria" w:cs="Arial"/>
                <w:b/>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1B1F39" w:rsidRDefault="001B1F39">
            <w:pPr>
              <w:spacing w:after="0" w:line="240" w:lineRule="auto"/>
              <w:jc w:val="both"/>
              <w:rPr>
                <w:rFonts w:ascii="Cambria" w:hAnsi="Cambria" w:cs="Arial"/>
                <w:b/>
                <w:sz w:val="18"/>
                <w:szCs w:val="18"/>
              </w:rPr>
            </w:pPr>
            <w:r>
              <w:rPr>
                <w:rFonts w:ascii="Cambria" w:hAnsi="Cambria" w:cs="Arial"/>
                <w:b/>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1B1F39" w:rsidRDefault="001B1F39">
            <w:pPr>
              <w:spacing w:after="0" w:line="240" w:lineRule="auto"/>
              <w:jc w:val="both"/>
              <w:rPr>
                <w:rFonts w:ascii="Cambria" w:hAnsi="Cambria" w:cs="Arial"/>
                <w:b/>
                <w:sz w:val="18"/>
                <w:szCs w:val="18"/>
              </w:rPr>
            </w:pPr>
            <w:r>
              <w:rPr>
                <w:rFonts w:ascii="Cambria" w:hAnsi="Cambria" w:cs="Arial"/>
                <w:b/>
                <w:sz w:val="18"/>
                <w:szCs w:val="18"/>
              </w:rPr>
              <w:t xml:space="preserve">   80,00</w:t>
            </w:r>
          </w:p>
        </w:tc>
        <w:tc>
          <w:tcPr>
            <w:tcW w:w="0" w:type="auto"/>
            <w:tcBorders>
              <w:top w:val="single" w:sz="4" w:space="0" w:color="000000"/>
              <w:left w:val="single" w:sz="4" w:space="0" w:color="000000"/>
              <w:bottom w:val="single" w:sz="4" w:space="0" w:color="000000"/>
              <w:right w:val="single" w:sz="4" w:space="0" w:color="000000"/>
            </w:tcBorders>
            <w:hideMark/>
          </w:tcPr>
          <w:p w:rsidR="001B1F39" w:rsidRDefault="001B1F39">
            <w:pPr>
              <w:spacing w:after="0" w:line="240" w:lineRule="auto"/>
              <w:jc w:val="both"/>
              <w:rPr>
                <w:rFonts w:ascii="Cambria" w:hAnsi="Cambria" w:cs="Arial"/>
                <w:b/>
                <w:sz w:val="18"/>
                <w:szCs w:val="18"/>
                <w:lang w:val="en-US"/>
              </w:rPr>
            </w:pPr>
            <w:r>
              <w:rPr>
                <w:rFonts w:ascii="Cambria" w:hAnsi="Cambria" w:cs="Arial"/>
                <w:b/>
                <w:sz w:val="18"/>
                <w:szCs w:val="18"/>
                <w:lang w:val="en-US"/>
              </w:rPr>
              <w:t>11</w:t>
            </w:r>
            <w:r>
              <w:rPr>
                <w:rFonts w:ascii="Cambria" w:hAnsi="Cambria" w:cs="Arial"/>
                <w:b/>
                <w:sz w:val="18"/>
                <w:szCs w:val="18"/>
              </w:rPr>
              <w:t>4</w:t>
            </w:r>
            <w:r>
              <w:rPr>
                <w:rFonts w:ascii="Cambria" w:hAnsi="Cambria" w:cs="Arial"/>
                <w:b/>
                <w:sz w:val="18"/>
                <w:szCs w:val="18"/>
                <w:lang w:val="en-US"/>
              </w:rPr>
              <w:t>,00</w:t>
            </w:r>
          </w:p>
        </w:tc>
        <w:tc>
          <w:tcPr>
            <w:tcW w:w="0" w:type="auto"/>
            <w:tcBorders>
              <w:top w:val="single" w:sz="4" w:space="0" w:color="000000"/>
              <w:left w:val="single" w:sz="4" w:space="0" w:color="000000"/>
              <w:bottom w:val="single" w:sz="4" w:space="0" w:color="000000"/>
              <w:right w:val="single" w:sz="4" w:space="0" w:color="000000"/>
            </w:tcBorders>
          </w:tcPr>
          <w:p w:rsidR="001B1F39" w:rsidRDefault="001B1F39">
            <w:pPr>
              <w:spacing w:after="0" w:line="240" w:lineRule="auto"/>
              <w:jc w:val="both"/>
              <w:rPr>
                <w:rFonts w:ascii="Cambria" w:hAnsi="Cambria" w:cs="Arial"/>
                <w:b/>
                <w:sz w:val="18"/>
                <w:szCs w:val="18"/>
              </w:rPr>
            </w:pPr>
            <w:r>
              <w:rPr>
                <w:rFonts w:ascii="Cambria" w:hAnsi="Cambria" w:cs="Arial"/>
                <w:b/>
                <w:sz w:val="18"/>
                <w:szCs w:val="18"/>
              </w:rPr>
              <w:t xml:space="preserve">   194,00</w:t>
            </w:r>
          </w:p>
          <w:p w:rsidR="001B1F39" w:rsidRDefault="001B1F39">
            <w:pPr>
              <w:spacing w:after="0" w:line="240" w:lineRule="auto"/>
              <w:jc w:val="both"/>
              <w:rPr>
                <w:rFonts w:ascii="Cambria" w:hAnsi="Cambria" w:cs="Arial"/>
                <w:b/>
                <w:sz w:val="18"/>
                <w:szCs w:val="18"/>
              </w:rPr>
            </w:pPr>
          </w:p>
          <w:p w:rsidR="001B1F39" w:rsidRDefault="001B1F39">
            <w:pPr>
              <w:spacing w:after="0" w:line="240" w:lineRule="auto"/>
              <w:jc w:val="both"/>
              <w:rPr>
                <w:rFonts w:ascii="Cambria" w:hAnsi="Cambria" w:cs="Arial"/>
                <w:b/>
                <w:sz w:val="18"/>
                <w:szCs w:val="18"/>
              </w:rPr>
            </w:pPr>
          </w:p>
          <w:p w:rsidR="001B1F39" w:rsidRDefault="001B1F39">
            <w:pPr>
              <w:spacing w:after="0" w:line="240" w:lineRule="auto"/>
              <w:jc w:val="both"/>
              <w:rPr>
                <w:rFonts w:ascii="Cambria" w:hAnsi="Cambria" w:cs="Arial"/>
                <w:b/>
                <w:sz w:val="18"/>
                <w:szCs w:val="18"/>
              </w:rPr>
            </w:pPr>
          </w:p>
          <w:p w:rsidR="001B1F39" w:rsidRDefault="001B1F39">
            <w:pPr>
              <w:spacing w:after="0" w:line="240" w:lineRule="auto"/>
              <w:jc w:val="both"/>
              <w:rPr>
                <w:rFonts w:ascii="Cambria" w:hAnsi="Cambria" w:cs="Arial"/>
                <w:b/>
                <w:sz w:val="18"/>
                <w:szCs w:val="18"/>
              </w:rPr>
            </w:pPr>
          </w:p>
          <w:p w:rsidR="001B1F39" w:rsidRDefault="001B1F39">
            <w:pPr>
              <w:spacing w:after="0" w:line="240" w:lineRule="auto"/>
              <w:jc w:val="both"/>
              <w:rPr>
                <w:rFonts w:ascii="Cambria" w:hAnsi="Cambria" w:cs="Arial"/>
                <w:b/>
                <w:sz w:val="18"/>
                <w:szCs w:val="18"/>
              </w:rPr>
            </w:pPr>
          </w:p>
        </w:tc>
      </w:tr>
    </w:tbl>
    <w:p w:rsidR="001B1F39" w:rsidRDefault="001B1F39" w:rsidP="001B1F39">
      <w:pPr>
        <w:jc w:val="both"/>
        <w:rPr>
          <w:lang w:val="en-US"/>
        </w:rPr>
      </w:pPr>
    </w:p>
    <w:p w:rsidR="001B1F39" w:rsidRDefault="001B1F39" w:rsidP="001B1F39">
      <w:pPr>
        <w:jc w:val="both"/>
      </w:pPr>
      <w:r>
        <w:t xml:space="preserve">Με την </w:t>
      </w:r>
      <w:proofErr w:type="spellStart"/>
      <w:r>
        <w:t>υπ΄αρ</w:t>
      </w:r>
      <w:proofErr w:type="spellEnd"/>
      <w:r>
        <w:t>. 10819/6-12-2019 Απόφαση του Συντονιστή Αποκεντρωμένης Διοίκησης Μακεδονίας- Θράκης (ΦΕΚ 264/τ.Β/3-02-2020) ορίστηκε το ανώτατο όριο των επιτρεπόμενων κατά το έτος 2020 ημερών μετακίνησης εκτός έδρας, του Δημάρχου Νάουσας, σε εξήντα (60) ημέρες. Οι ημέρες μετακίνησης για το έτος 2020, μέχρι σήμερα έχουν ως εξής: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5"/>
        <w:gridCol w:w="2666"/>
        <w:gridCol w:w="3959"/>
      </w:tblGrid>
      <w:tr w:rsidR="001B1F39" w:rsidTr="001B1F39">
        <w:tc>
          <w:tcPr>
            <w:tcW w:w="1505" w:type="dxa"/>
            <w:tcBorders>
              <w:top w:val="single" w:sz="4" w:space="0" w:color="000000"/>
              <w:left w:val="single" w:sz="4" w:space="0" w:color="000000"/>
              <w:bottom w:val="single" w:sz="4" w:space="0" w:color="000000"/>
              <w:right w:val="single" w:sz="4" w:space="0" w:color="000000"/>
            </w:tcBorders>
            <w:hideMark/>
          </w:tcPr>
          <w:p w:rsidR="001B1F39" w:rsidRDefault="001B1F39">
            <w:pPr>
              <w:spacing w:after="0" w:line="240" w:lineRule="auto"/>
              <w:rPr>
                <w:rFonts w:ascii="Times New Roman" w:hAnsi="Times New Roman"/>
                <w:sz w:val="20"/>
                <w:szCs w:val="20"/>
              </w:rPr>
            </w:pPr>
            <w:r>
              <w:rPr>
                <w:rFonts w:ascii="Times New Roman" w:hAnsi="Times New Roman"/>
                <w:sz w:val="20"/>
                <w:szCs w:val="20"/>
              </w:rPr>
              <w:t>Α.Δ.Σ.</w:t>
            </w:r>
          </w:p>
        </w:tc>
        <w:tc>
          <w:tcPr>
            <w:tcW w:w="2666" w:type="dxa"/>
            <w:tcBorders>
              <w:top w:val="single" w:sz="4" w:space="0" w:color="000000"/>
              <w:left w:val="single" w:sz="4" w:space="0" w:color="000000"/>
              <w:bottom w:val="single" w:sz="4" w:space="0" w:color="000000"/>
              <w:right w:val="single" w:sz="4" w:space="0" w:color="000000"/>
            </w:tcBorders>
            <w:hideMark/>
          </w:tcPr>
          <w:p w:rsidR="001B1F39" w:rsidRDefault="001B1F39">
            <w:pPr>
              <w:spacing w:after="0" w:line="240" w:lineRule="auto"/>
              <w:rPr>
                <w:rFonts w:ascii="Times New Roman" w:hAnsi="Times New Roman"/>
                <w:sz w:val="20"/>
                <w:szCs w:val="20"/>
              </w:rPr>
            </w:pPr>
            <w:r>
              <w:rPr>
                <w:rFonts w:ascii="Times New Roman" w:hAnsi="Times New Roman"/>
                <w:sz w:val="20"/>
                <w:szCs w:val="20"/>
              </w:rPr>
              <w:t xml:space="preserve">Ημέρες μετακίνησης </w:t>
            </w:r>
          </w:p>
          <w:p w:rsidR="001B1F39" w:rsidRDefault="001B1F39">
            <w:pPr>
              <w:spacing w:after="0" w:line="240" w:lineRule="auto"/>
              <w:rPr>
                <w:rFonts w:ascii="Times New Roman" w:hAnsi="Times New Roman"/>
                <w:sz w:val="20"/>
                <w:szCs w:val="20"/>
              </w:rPr>
            </w:pPr>
            <w:r>
              <w:rPr>
                <w:rFonts w:ascii="Times New Roman" w:hAnsi="Times New Roman"/>
                <w:sz w:val="20"/>
                <w:szCs w:val="20"/>
              </w:rPr>
              <w:t xml:space="preserve"> στο έτος 2020</w:t>
            </w:r>
          </w:p>
        </w:tc>
        <w:tc>
          <w:tcPr>
            <w:tcW w:w="3959" w:type="dxa"/>
            <w:tcBorders>
              <w:top w:val="single" w:sz="4" w:space="0" w:color="000000"/>
              <w:left w:val="single" w:sz="4" w:space="0" w:color="000000"/>
              <w:bottom w:val="single" w:sz="4" w:space="0" w:color="000000"/>
              <w:right w:val="single" w:sz="4" w:space="0" w:color="000000"/>
            </w:tcBorders>
            <w:hideMark/>
          </w:tcPr>
          <w:p w:rsidR="001B1F39" w:rsidRDefault="001B1F39">
            <w:pPr>
              <w:pStyle w:val="Default"/>
              <w:spacing w:line="276" w:lineRule="auto"/>
              <w:rPr>
                <w:rFonts w:ascii="Times New Roman" w:hAnsi="Times New Roman" w:cs="Times New Roman"/>
                <w:sz w:val="20"/>
                <w:szCs w:val="20"/>
              </w:rPr>
            </w:pPr>
            <w:r>
              <w:rPr>
                <w:rFonts w:ascii="Times New Roman" w:hAnsi="Times New Roman" w:cs="Times New Roman"/>
                <w:sz w:val="20"/>
                <w:szCs w:val="20"/>
              </w:rPr>
              <w:t xml:space="preserve">Ανώτατο όριο των επιτρεπόμενων κατά το έτος 2020 ημερών μετακίνησης εκτός έδρας, του Δημάρχου Νάουσας </w:t>
            </w:r>
          </w:p>
        </w:tc>
      </w:tr>
      <w:tr w:rsidR="001B1F39" w:rsidTr="001B1F39">
        <w:tc>
          <w:tcPr>
            <w:tcW w:w="1505" w:type="dxa"/>
            <w:tcBorders>
              <w:top w:val="single" w:sz="4" w:space="0" w:color="000000"/>
              <w:left w:val="single" w:sz="4" w:space="0" w:color="000000"/>
              <w:bottom w:val="single" w:sz="4" w:space="0" w:color="000000"/>
              <w:right w:val="single" w:sz="4" w:space="0" w:color="000000"/>
            </w:tcBorders>
            <w:hideMark/>
          </w:tcPr>
          <w:p w:rsidR="001B1F39" w:rsidRDefault="001B1F39">
            <w:pPr>
              <w:spacing w:after="0" w:line="240" w:lineRule="auto"/>
              <w:rPr>
                <w:rFonts w:ascii="Times New Roman" w:hAnsi="Times New Roman"/>
                <w:sz w:val="24"/>
                <w:szCs w:val="24"/>
              </w:rPr>
            </w:pPr>
            <w:r>
              <w:rPr>
                <w:rFonts w:ascii="Times New Roman" w:hAnsi="Times New Roman"/>
                <w:sz w:val="24"/>
                <w:szCs w:val="24"/>
              </w:rPr>
              <w:t>2020</w:t>
            </w:r>
          </w:p>
        </w:tc>
        <w:tc>
          <w:tcPr>
            <w:tcW w:w="2666" w:type="dxa"/>
            <w:tcBorders>
              <w:top w:val="single" w:sz="4" w:space="0" w:color="000000"/>
              <w:left w:val="single" w:sz="4" w:space="0" w:color="000000"/>
              <w:bottom w:val="single" w:sz="4" w:space="0" w:color="000000"/>
              <w:right w:val="single" w:sz="4" w:space="0" w:color="000000"/>
            </w:tcBorders>
            <w:hideMark/>
          </w:tcPr>
          <w:p w:rsidR="001B1F39" w:rsidRDefault="001B1F39">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3959" w:type="dxa"/>
            <w:tcBorders>
              <w:top w:val="single" w:sz="4" w:space="0" w:color="000000"/>
              <w:left w:val="single" w:sz="4" w:space="0" w:color="000000"/>
              <w:bottom w:val="single" w:sz="4" w:space="0" w:color="000000"/>
              <w:right w:val="single" w:sz="4" w:space="0" w:color="000000"/>
            </w:tcBorders>
          </w:tcPr>
          <w:p w:rsidR="001B1F39" w:rsidRDefault="001B1F39">
            <w:pPr>
              <w:spacing w:after="0" w:line="240" w:lineRule="auto"/>
              <w:rPr>
                <w:rFonts w:ascii="Times New Roman" w:hAnsi="Times New Roman"/>
                <w:color w:val="FF0000"/>
                <w:sz w:val="24"/>
                <w:szCs w:val="24"/>
              </w:rPr>
            </w:pPr>
          </w:p>
        </w:tc>
      </w:tr>
      <w:tr w:rsidR="001B1F39" w:rsidTr="001B1F39">
        <w:tc>
          <w:tcPr>
            <w:tcW w:w="1505" w:type="dxa"/>
            <w:tcBorders>
              <w:top w:val="single" w:sz="4" w:space="0" w:color="000000"/>
              <w:left w:val="single" w:sz="4" w:space="0" w:color="000000"/>
              <w:bottom w:val="single" w:sz="4" w:space="0" w:color="000000"/>
              <w:right w:val="single" w:sz="4" w:space="0" w:color="000000"/>
            </w:tcBorders>
            <w:hideMark/>
          </w:tcPr>
          <w:p w:rsidR="001B1F39" w:rsidRDefault="001B1F39">
            <w:pPr>
              <w:spacing w:after="0"/>
              <w:rPr>
                <w:rFonts w:asciiTheme="minorHAnsi" w:eastAsiaTheme="minorEastAsia" w:hAnsiTheme="minorHAnsi" w:cstheme="minorBidi"/>
              </w:rPr>
            </w:pPr>
          </w:p>
        </w:tc>
        <w:tc>
          <w:tcPr>
            <w:tcW w:w="2666" w:type="dxa"/>
            <w:tcBorders>
              <w:top w:val="single" w:sz="4" w:space="0" w:color="000000"/>
              <w:left w:val="single" w:sz="4" w:space="0" w:color="000000"/>
              <w:bottom w:val="single" w:sz="4" w:space="0" w:color="000000"/>
              <w:right w:val="single" w:sz="4" w:space="0" w:color="000000"/>
            </w:tcBorders>
            <w:hideMark/>
          </w:tcPr>
          <w:p w:rsidR="001B1F39" w:rsidRDefault="001B1F39">
            <w:pPr>
              <w:spacing w:after="0"/>
              <w:rPr>
                <w:rFonts w:asciiTheme="minorHAnsi" w:eastAsiaTheme="minorEastAsia" w:hAnsiTheme="minorHAnsi" w:cstheme="minorBidi"/>
              </w:rPr>
            </w:pPr>
          </w:p>
        </w:tc>
        <w:tc>
          <w:tcPr>
            <w:tcW w:w="3959" w:type="dxa"/>
            <w:tcBorders>
              <w:top w:val="single" w:sz="4" w:space="0" w:color="000000"/>
              <w:left w:val="single" w:sz="4" w:space="0" w:color="000000"/>
              <w:bottom w:val="single" w:sz="4" w:space="0" w:color="000000"/>
              <w:right w:val="single" w:sz="4" w:space="0" w:color="000000"/>
            </w:tcBorders>
            <w:hideMark/>
          </w:tcPr>
          <w:p w:rsidR="001B1F39" w:rsidRDefault="001B1F39">
            <w:pPr>
              <w:spacing w:after="0"/>
              <w:rPr>
                <w:rFonts w:asciiTheme="minorHAnsi" w:eastAsiaTheme="minorEastAsia" w:hAnsiTheme="minorHAnsi" w:cstheme="minorBidi"/>
              </w:rPr>
            </w:pPr>
          </w:p>
        </w:tc>
      </w:tr>
      <w:tr w:rsidR="001B1F39" w:rsidTr="001B1F39">
        <w:tc>
          <w:tcPr>
            <w:tcW w:w="1505" w:type="dxa"/>
            <w:tcBorders>
              <w:top w:val="single" w:sz="4" w:space="0" w:color="000000"/>
              <w:left w:val="single" w:sz="4" w:space="0" w:color="000000"/>
              <w:bottom w:val="single" w:sz="4" w:space="0" w:color="000000"/>
              <w:right w:val="single" w:sz="4" w:space="0" w:color="000000"/>
            </w:tcBorders>
            <w:hideMark/>
          </w:tcPr>
          <w:p w:rsidR="001B1F39" w:rsidRDefault="001B1F39">
            <w:pPr>
              <w:spacing w:after="0"/>
              <w:rPr>
                <w:rFonts w:asciiTheme="minorHAnsi" w:eastAsiaTheme="minorEastAsia" w:hAnsiTheme="minorHAnsi" w:cstheme="minorBidi"/>
              </w:rPr>
            </w:pPr>
          </w:p>
        </w:tc>
        <w:tc>
          <w:tcPr>
            <w:tcW w:w="2666" w:type="dxa"/>
            <w:tcBorders>
              <w:top w:val="single" w:sz="4" w:space="0" w:color="000000"/>
              <w:left w:val="single" w:sz="4" w:space="0" w:color="000000"/>
              <w:bottom w:val="single" w:sz="4" w:space="0" w:color="000000"/>
              <w:right w:val="single" w:sz="4" w:space="0" w:color="000000"/>
            </w:tcBorders>
            <w:hideMark/>
          </w:tcPr>
          <w:p w:rsidR="001B1F39" w:rsidRDefault="001B1F39">
            <w:pPr>
              <w:spacing w:after="0"/>
              <w:rPr>
                <w:rFonts w:asciiTheme="minorHAnsi" w:eastAsiaTheme="minorEastAsia" w:hAnsiTheme="minorHAnsi" w:cstheme="minorBidi"/>
              </w:rPr>
            </w:pPr>
          </w:p>
        </w:tc>
        <w:tc>
          <w:tcPr>
            <w:tcW w:w="3959" w:type="dxa"/>
            <w:tcBorders>
              <w:top w:val="single" w:sz="4" w:space="0" w:color="000000"/>
              <w:left w:val="single" w:sz="4" w:space="0" w:color="000000"/>
              <w:bottom w:val="single" w:sz="4" w:space="0" w:color="000000"/>
              <w:right w:val="single" w:sz="4" w:space="0" w:color="000000"/>
            </w:tcBorders>
            <w:hideMark/>
          </w:tcPr>
          <w:p w:rsidR="001B1F39" w:rsidRDefault="001B1F39">
            <w:pPr>
              <w:spacing w:after="0"/>
              <w:rPr>
                <w:rFonts w:asciiTheme="minorHAnsi" w:eastAsiaTheme="minorEastAsia" w:hAnsiTheme="minorHAnsi" w:cstheme="minorBidi"/>
              </w:rPr>
            </w:pPr>
          </w:p>
        </w:tc>
      </w:tr>
      <w:tr w:rsidR="001B1F39" w:rsidTr="001B1F39">
        <w:tc>
          <w:tcPr>
            <w:tcW w:w="1505" w:type="dxa"/>
            <w:tcBorders>
              <w:top w:val="single" w:sz="4" w:space="0" w:color="000000"/>
              <w:left w:val="single" w:sz="4" w:space="0" w:color="000000"/>
              <w:bottom w:val="single" w:sz="4" w:space="0" w:color="000000"/>
              <w:right w:val="single" w:sz="4" w:space="0" w:color="000000"/>
            </w:tcBorders>
            <w:hideMark/>
          </w:tcPr>
          <w:p w:rsidR="001B1F39" w:rsidRDefault="001B1F39">
            <w:pPr>
              <w:spacing w:after="0" w:line="240" w:lineRule="auto"/>
              <w:rPr>
                <w:rFonts w:ascii="Times New Roman" w:hAnsi="Times New Roman"/>
              </w:rPr>
            </w:pPr>
            <w:r>
              <w:rPr>
                <w:rFonts w:ascii="Times New Roman" w:hAnsi="Times New Roman"/>
              </w:rPr>
              <w:t>Σύνολο</w:t>
            </w:r>
          </w:p>
        </w:tc>
        <w:tc>
          <w:tcPr>
            <w:tcW w:w="2666" w:type="dxa"/>
            <w:tcBorders>
              <w:top w:val="single" w:sz="4" w:space="0" w:color="000000"/>
              <w:left w:val="single" w:sz="4" w:space="0" w:color="000000"/>
              <w:bottom w:val="single" w:sz="4" w:space="0" w:color="000000"/>
              <w:right w:val="single" w:sz="4" w:space="0" w:color="000000"/>
            </w:tcBorders>
            <w:hideMark/>
          </w:tcPr>
          <w:p w:rsidR="001B1F39" w:rsidRDefault="001B1F39">
            <w:pPr>
              <w:spacing w:after="0" w:line="240" w:lineRule="auto"/>
              <w:jc w:val="center"/>
              <w:rPr>
                <w:rFonts w:ascii="Times New Roman" w:hAnsi="Times New Roman"/>
                <w:lang w:val="en-US"/>
              </w:rPr>
            </w:pPr>
            <w:r>
              <w:rPr>
                <w:rFonts w:ascii="Times New Roman" w:hAnsi="Times New Roman"/>
                <w:lang w:val="en-US"/>
              </w:rPr>
              <w:t>4</w:t>
            </w:r>
          </w:p>
        </w:tc>
        <w:tc>
          <w:tcPr>
            <w:tcW w:w="3959" w:type="dxa"/>
            <w:tcBorders>
              <w:top w:val="single" w:sz="4" w:space="0" w:color="000000"/>
              <w:left w:val="single" w:sz="4" w:space="0" w:color="000000"/>
              <w:bottom w:val="single" w:sz="4" w:space="0" w:color="000000"/>
              <w:right w:val="single" w:sz="4" w:space="0" w:color="000000"/>
            </w:tcBorders>
            <w:hideMark/>
          </w:tcPr>
          <w:p w:rsidR="001B1F39" w:rsidRDefault="001B1F39">
            <w:pPr>
              <w:pStyle w:val="Default"/>
              <w:spacing w:line="276" w:lineRule="auto"/>
              <w:rPr>
                <w:rFonts w:ascii="Times New Roman" w:hAnsi="Times New Roman" w:cs="Times New Roman"/>
                <w:sz w:val="22"/>
                <w:szCs w:val="22"/>
              </w:rPr>
            </w:pPr>
            <w:r>
              <w:rPr>
                <w:rFonts w:ascii="Times New Roman" w:hAnsi="Times New Roman" w:cs="Times New Roman"/>
                <w:sz w:val="22"/>
                <w:szCs w:val="22"/>
              </w:rPr>
              <w:t xml:space="preserve">εξήντα (60) ημέρες </w:t>
            </w:r>
          </w:p>
        </w:tc>
      </w:tr>
    </w:tbl>
    <w:p w:rsidR="001B1F39" w:rsidRDefault="001B1F39" w:rsidP="001B1F39">
      <w:pPr>
        <w:jc w:val="center"/>
        <w:rPr>
          <w:rFonts w:asciiTheme="majorHAnsi" w:hAnsiTheme="majorHAnsi" w:cs="Arial"/>
        </w:rPr>
      </w:pPr>
      <w:r>
        <w:rPr>
          <w:rFonts w:asciiTheme="majorHAnsi" w:hAnsiTheme="majorHAnsi" w:cs="Arial"/>
        </w:rPr>
        <w:t>ΕΙΣΗΓΗΤΗΣ</w:t>
      </w:r>
    </w:p>
    <w:p w:rsidR="001B1F39" w:rsidRDefault="001B1F39" w:rsidP="001B1F39">
      <w:pPr>
        <w:jc w:val="center"/>
        <w:rPr>
          <w:rFonts w:asciiTheme="majorHAnsi" w:hAnsiTheme="majorHAnsi" w:cs="Arial"/>
        </w:rPr>
      </w:pPr>
      <w:r>
        <w:rPr>
          <w:rFonts w:asciiTheme="majorHAnsi" w:hAnsiTheme="majorHAnsi" w:cs="Arial"/>
        </w:rPr>
        <w:t>Αντιδήμαρχος Διοικητικών, Οικονομικών Υπηρεσιών, Τοπικής Οικονομικής Ανάπτυξης και Κ.Ε.Π.</w:t>
      </w:r>
    </w:p>
    <w:p w:rsidR="001B1F39" w:rsidRDefault="001B1F39" w:rsidP="001B1F39">
      <w:pPr>
        <w:ind w:firstLine="720"/>
        <w:jc w:val="center"/>
        <w:rPr>
          <w:rFonts w:asciiTheme="majorHAnsi" w:hAnsiTheme="majorHAnsi" w:cs="Arial"/>
        </w:rPr>
      </w:pPr>
      <w:proofErr w:type="spellStart"/>
      <w:r>
        <w:rPr>
          <w:rFonts w:asciiTheme="majorHAnsi" w:hAnsiTheme="majorHAnsi" w:cs="Arial"/>
        </w:rPr>
        <w:t>Καραγιαννίδης</w:t>
      </w:r>
      <w:proofErr w:type="spellEnd"/>
      <w:r>
        <w:rPr>
          <w:rFonts w:asciiTheme="majorHAnsi" w:hAnsiTheme="majorHAnsi" w:cs="Arial"/>
        </w:rPr>
        <w:t xml:space="preserve"> Αντώνιος</w:t>
      </w:r>
    </w:p>
    <w:sectPr w:rsidR="001B1F39" w:rsidSect="00C6040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B1F39"/>
    <w:rsid w:val="000445AC"/>
    <w:rsid w:val="00106298"/>
    <w:rsid w:val="001B1F39"/>
    <w:rsid w:val="00427897"/>
    <w:rsid w:val="00C6040B"/>
    <w:rsid w:val="00D169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F39"/>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Σώμα κειμένου6"/>
    <w:basedOn w:val="a"/>
    <w:rsid w:val="001B1F39"/>
    <w:pPr>
      <w:shd w:val="clear" w:color="auto" w:fill="FFFFFF"/>
      <w:spacing w:after="0" w:line="0" w:lineRule="atLeast"/>
      <w:ind w:hanging="320"/>
    </w:pPr>
    <w:rPr>
      <w:rFonts w:ascii="Times New Roman" w:hAnsi="Times New Roman"/>
      <w:color w:val="000000"/>
      <w:sz w:val="21"/>
      <w:szCs w:val="21"/>
    </w:rPr>
  </w:style>
  <w:style w:type="paragraph" w:customStyle="1" w:styleId="Default">
    <w:name w:val="Default"/>
    <w:rsid w:val="001B1F39"/>
    <w:pPr>
      <w:autoSpaceDE w:val="0"/>
      <w:autoSpaceDN w:val="0"/>
      <w:adjustRightInd w:val="0"/>
      <w:spacing w:after="0" w:line="240" w:lineRule="auto"/>
    </w:pPr>
    <w:rPr>
      <w:rFonts w:ascii="Cambria" w:eastAsia="Times New Roman" w:hAnsi="Cambria" w:cs="Cambria"/>
      <w:color w:val="000000"/>
      <w:sz w:val="24"/>
      <w:szCs w:val="24"/>
      <w:lang w:eastAsia="el-GR"/>
    </w:rPr>
  </w:style>
  <w:style w:type="character" w:customStyle="1" w:styleId="a3">
    <w:name w:val="Σώμα κειμένου + Έντονη γραφή"/>
    <w:basedOn w:val="a0"/>
    <w:rsid w:val="001B1F39"/>
    <w:rPr>
      <w:rFonts w:ascii="Tahoma" w:eastAsia="Tahoma" w:hAnsi="Tahoma" w:cs="Tahoma" w:hint="default"/>
      <w:b/>
      <w:bCs/>
      <w:sz w:val="16"/>
      <w:szCs w:val="16"/>
    </w:rPr>
  </w:style>
  <w:style w:type="character" w:customStyle="1" w:styleId="3">
    <w:name w:val="Σώμα κειμένου3"/>
    <w:basedOn w:val="a0"/>
    <w:rsid w:val="001B1F39"/>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4">
    <w:name w:val="Σώμα κειμένου4"/>
    <w:basedOn w:val="a0"/>
    <w:rsid w:val="001B1F39"/>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styleId="a4">
    <w:name w:val="Strong"/>
    <w:basedOn w:val="a0"/>
    <w:uiPriority w:val="22"/>
    <w:qFormat/>
    <w:rsid w:val="001B1F39"/>
    <w:rPr>
      <w:b/>
      <w:bCs/>
    </w:rPr>
  </w:style>
</w:styles>
</file>

<file path=word/webSettings.xml><?xml version="1.0" encoding="utf-8"?>
<w:webSettings xmlns:r="http://schemas.openxmlformats.org/officeDocument/2006/relationships" xmlns:w="http://schemas.openxmlformats.org/wordprocessingml/2006/main">
  <w:divs>
    <w:div w:id="134802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1670</Words>
  <Characters>9018</Characters>
  <Application>Microsoft Office Word</Application>
  <DocSecurity>4</DocSecurity>
  <Lines>75</Lines>
  <Paragraphs>21</Paragraphs>
  <ScaleCrop>false</ScaleCrop>
  <Company/>
  <LinksUpToDate>false</LinksUpToDate>
  <CharactersWithSpaces>10667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ds2</cp:lastModifiedBy>
  <cp:revision>2</cp:revision>
  <dcterms:created xsi:type="dcterms:W3CDTF">2020-09-28T08:41:00Z</dcterms:created>
  <dcterms:modified xsi:type="dcterms:W3CDTF">2020-09-28T08:41:00Z</dcterms:modified>
</cp:coreProperties>
</file>