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2" w:rsidRDefault="00D44F22" w:rsidP="00D44F22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D44F22" w:rsidRPr="00967896" w:rsidTr="001909D8">
        <w:tc>
          <w:tcPr>
            <w:tcW w:w="4068" w:type="dxa"/>
          </w:tcPr>
          <w:p w:rsidR="00D44F22" w:rsidRPr="00967896" w:rsidRDefault="00D44F22" w:rsidP="001909D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bookmarkStart w:id="0" w:name="_Hlk30153691"/>
            <w:r w:rsidRPr="00967896">
              <w:rPr>
                <w:rFonts w:ascii="Arial" w:hAnsi="Arial" w:cs="Arial"/>
                <w:lang w:eastAsia="ar-SA"/>
              </w:rPr>
              <w:t xml:space="preserve">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95425" cy="10191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</w:tcPr>
          <w:p w:rsidR="00D44F22" w:rsidRPr="0081664A" w:rsidRDefault="0081664A" w:rsidP="001909D8">
            <w:pPr>
              <w:suppressAutoHyphens/>
              <w:ind w:left="85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</w:t>
            </w:r>
            <w:r>
              <w:rPr>
                <w:rFonts w:asciiTheme="minorHAnsi" w:hAnsiTheme="minorHAnsi" w:cstheme="minorHAnsi"/>
                <w:lang w:eastAsia="ar-SA"/>
              </w:rPr>
              <w:t xml:space="preserve">               28/10/2020</w:t>
            </w:r>
          </w:p>
        </w:tc>
      </w:tr>
      <w:tr w:rsidR="00D44F22" w:rsidRPr="00967896" w:rsidTr="001909D8">
        <w:tc>
          <w:tcPr>
            <w:tcW w:w="4068" w:type="dxa"/>
          </w:tcPr>
          <w:p w:rsidR="00D44F22" w:rsidRPr="00967896" w:rsidRDefault="00D44F22" w:rsidP="001909D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789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D44F22" w:rsidRPr="00967896" w:rsidRDefault="00D44F22" w:rsidP="001909D8">
            <w:pPr>
              <w:suppressAutoHyphens/>
              <w:ind w:left="792"/>
              <w:rPr>
                <w:rFonts w:ascii="Arial" w:hAnsi="Arial" w:cs="Arial"/>
                <w:lang w:eastAsia="ar-SA"/>
              </w:rPr>
            </w:pPr>
          </w:p>
        </w:tc>
      </w:tr>
      <w:tr w:rsidR="00D44F22" w:rsidRPr="00967896" w:rsidTr="001909D8">
        <w:tc>
          <w:tcPr>
            <w:tcW w:w="4068" w:type="dxa"/>
          </w:tcPr>
          <w:p w:rsidR="00D44F22" w:rsidRPr="004A354C" w:rsidRDefault="00D44F22" w:rsidP="001909D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ΠΕΡΙΦΕΡΕΙΑΚΗ ΕΝΟΤΗΤΑ ΗΜΑΘΙΑΣ</w:t>
            </w:r>
          </w:p>
        </w:tc>
        <w:tc>
          <w:tcPr>
            <w:tcW w:w="5538" w:type="dxa"/>
          </w:tcPr>
          <w:p w:rsidR="00D44F22" w:rsidRPr="00967896" w:rsidRDefault="00D44F22" w:rsidP="001909D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D44F22" w:rsidRPr="00967896" w:rsidTr="001909D8">
        <w:tc>
          <w:tcPr>
            <w:tcW w:w="4068" w:type="dxa"/>
          </w:tcPr>
          <w:p w:rsidR="00D44F22" w:rsidRPr="00967896" w:rsidRDefault="00D44F22" w:rsidP="001909D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6789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D44F22" w:rsidRPr="00967896" w:rsidRDefault="00D44F22" w:rsidP="001909D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D44F22" w:rsidRPr="00967896" w:rsidTr="001909D8">
        <w:tc>
          <w:tcPr>
            <w:tcW w:w="4068" w:type="dxa"/>
          </w:tcPr>
          <w:p w:rsidR="00D44F22" w:rsidRPr="00967896" w:rsidRDefault="00D44F22" w:rsidP="001909D8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Διεύθυνση Διοικητικών Υπηρεσιών</w:t>
            </w:r>
          </w:p>
        </w:tc>
        <w:tc>
          <w:tcPr>
            <w:tcW w:w="5538" w:type="dxa"/>
          </w:tcPr>
          <w:p w:rsidR="00D44F22" w:rsidRPr="00967896" w:rsidRDefault="00D44F22" w:rsidP="001909D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D44F22" w:rsidRPr="00E27731" w:rsidTr="001909D8">
        <w:trPr>
          <w:trHeight w:val="949"/>
        </w:trPr>
        <w:tc>
          <w:tcPr>
            <w:tcW w:w="4068" w:type="dxa"/>
          </w:tcPr>
          <w:p w:rsidR="00D44F22" w:rsidRPr="00967896" w:rsidRDefault="00D44F22" w:rsidP="001909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7896">
              <w:rPr>
                <w:rFonts w:ascii="Arial" w:hAnsi="Arial" w:cs="Arial"/>
                <w:sz w:val="20"/>
                <w:szCs w:val="20"/>
                <w:lang w:eastAsia="ar-SA"/>
              </w:rPr>
              <w:t>Δ/</w:t>
            </w:r>
            <w:proofErr w:type="spellStart"/>
            <w:r w:rsidRPr="00967896">
              <w:rPr>
                <w:rFonts w:ascii="Arial" w:hAnsi="Arial" w:cs="Arial"/>
                <w:sz w:val="20"/>
                <w:szCs w:val="20"/>
                <w:lang w:eastAsia="ar-SA"/>
              </w:rPr>
              <w:t>νση:</w:t>
            </w:r>
            <w:proofErr w:type="spellEnd"/>
            <w:r w:rsidRPr="0096789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Δημαρχίας 30, 592 00, Νάουσα      </w:t>
            </w:r>
          </w:p>
          <w:p w:rsidR="00D44F22" w:rsidRPr="001909D8" w:rsidRDefault="00E27731" w:rsidP="001909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909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Τηλ</w:t>
            </w:r>
            <w:proofErr w:type="spellEnd"/>
            <w:r w:rsidRPr="001909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2332350311</w:t>
            </w:r>
            <w:r w:rsidR="00D44F22" w:rsidRPr="001909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</w:t>
            </w:r>
            <w:r w:rsidR="00D44F22" w:rsidRPr="00967896">
              <w:rPr>
                <w:rFonts w:ascii="Arial" w:hAnsi="Arial" w:cs="Arial"/>
                <w:sz w:val="20"/>
                <w:szCs w:val="20"/>
                <w:lang w:val="en-US" w:eastAsia="ar-SA"/>
              </w:rPr>
              <w:t>Fax</w:t>
            </w:r>
            <w:r w:rsidR="00D44F22" w:rsidRPr="001909D8">
              <w:rPr>
                <w:rFonts w:ascii="Arial" w:hAnsi="Arial" w:cs="Arial"/>
                <w:sz w:val="20"/>
                <w:szCs w:val="20"/>
                <w:lang w:eastAsia="ar-SA"/>
              </w:rPr>
              <w:t>: 2332024260</w:t>
            </w:r>
          </w:p>
          <w:p w:rsidR="00E27731" w:rsidRDefault="00D44F22" w:rsidP="001909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1909D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967896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ar-SA"/>
                </w:rPr>
                <w:t>www.naoussa.gr</w:t>
              </w:r>
            </w:hyperlink>
            <w:r w:rsidRPr="00967896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 </w:t>
            </w:r>
          </w:p>
          <w:p w:rsidR="00D44F22" w:rsidRPr="001909D8" w:rsidRDefault="00D44F22" w:rsidP="001909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67896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r w:rsidR="00E27731">
              <w:rPr>
                <w:rFonts w:ascii="Arial" w:hAnsi="Arial" w:cs="Arial"/>
                <w:sz w:val="20"/>
                <w:szCs w:val="20"/>
                <w:lang w:val="en-US" w:eastAsia="ar-SA"/>
              </w:rPr>
              <w:t>email</w:t>
            </w:r>
            <w:r w:rsidR="00E27731" w:rsidRPr="001909D8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  <w:proofErr w:type="spellStart"/>
            <w:r w:rsidR="00E27731">
              <w:rPr>
                <w:rFonts w:ascii="Arial" w:hAnsi="Arial" w:cs="Arial"/>
                <w:sz w:val="20"/>
                <w:szCs w:val="20"/>
                <w:lang w:val="en-US" w:eastAsia="ar-SA"/>
              </w:rPr>
              <w:t>koultzi</w:t>
            </w:r>
            <w:proofErr w:type="spellEnd"/>
            <w:r w:rsidR="00E27731" w:rsidRPr="001909D8">
              <w:rPr>
                <w:rFonts w:ascii="Arial" w:hAnsi="Arial" w:cs="Arial"/>
                <w:sz w:val="20"/>
                <w:szCs w:val="20"/>
                <w:lang w:eastAsia="ar-SA"/>
              </w:rPr>
              <w:t>@</w:t>
            </w:r>
            <w:proofErr w:type="spellStart"/>
            <w:r w:rsidR="00E27731">
              <w:rPr>
                <w:rFonts w:ascii="Arial" w:hAnsi="Arial" w:cs="Arial"/>
                <w:sz w:val="20"/>
                <w:szCs w:val="20"/>
                <w:lang w:val="en-US" w:eastAsia="ar-SA"/>
              </w:rPr>
              <w:t>naoussa</w:t>
            </w:r>
            <w:proofErr w:type="spellEnd"/>
            <w:r w:rsidR="00E27731" w:rsidRPr="001909D8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proofErr w:type="spellStart"/>
            <w:r w:rsidR="00E27731">
              <w:rPr>
                <w:rFonts w:ascii="Arial" w:hAnsi="Arial" w:cs="Arial"/>
                <w:sz w:val="20"/>
                <w:szCs w:val="20"/>
                <w:lang w:val="en-US" w:eastAsia="ar-SA"/>
              </w:rPr>
              <w:t>gr</w:t>
            </w:r>
            <w:proofErr w:type="spellEnd"/>
          </w:p>
          <w:p w:rsidR="00D44F22" w:rsidRPr="001909D8" w:rsidRDefault="00D44F22" w:rsidP="001909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44F22" w:rsidRPr="001909D8" w:rsidRDefault="00D44F22" w:rsidP="001909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38" w:type="dxa"/>
          </w:tcPr>
          <w:p w:rsidR="00D44F22" w:rsidRPr="001909D8" w:rsidRDefault="00D44F22" w:rsidP="001909D8">
            <w:pPr>
              <w:suppressAutoHyphens/>
              <w:spacing w:before="120"/>
              <w:rPr>
                <w:rFonts w:ascii="Arial" w:hAnsi="Arial" w:cs="Arial"/>
                <w:lang w:eastAsia="ar-SA"/>
              </w:rPr>
            </w:pPr>
          </w:p>
        </w:tc>
      </w:tr>
    </w:tbl>
    <w:bookmarkEnd w:id="0"/>
    <w:p w:rsidR="00D44F22" w:rsidRDefault="00D44F22" w:rsidP="00D44F2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354C">
        <w:rPr>
          <w:rFonts w:asciiTheme="minorHAnsi" w:hAnsiTheme="minorHAnsi" w:cstheme="minorHAnsi"/>
          <w:b/>
          <w:sz w:val="28"/>
          <w:szCs w:val="28"/>
          <w:u w:val="single"/>
        </w:rPr>
        <w:t>ΕΙΣΗΓΗΣΗ</w:t>
      </w:r>
    </w:p>
    <w:p w:rsidR="00D44F22" w:rsidRDefault="00D44F22" w:rsidP="00D44F2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44F22" w:rsidRDefault="00D44F22" w:rsidP="00D44F22">
      <w:pPr>
        <w:jc w:val="both"/>
        <w:rPr>
          <w:rFonts w:asciiTheme="minorHAnsi" w:hAnsiTheme="minorHAnsi" w:cstheme="minorHAnsi"/>
        </w:rPr>
      </w:pPr>
      <w:r w:rsidRPr="004A354C">
        <w:rPr>
          <w:rFonts w:asciiTheme="minorHAnsi" w:hAnsiTheme="minorHAnsi" w:cstheme="minorHAnsi"/>
          <w:b/>
        </w:rPr>
        <w:t>ΘΕΜΑ</w:t>
      </w:r>
      <w:r w:rsidRPr="004A354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Καθορισμός πρόσθετων προσόντων για τις εγκριθείσες προς πλήρωση θέσεις τακτικού προσωπικού Δήμου Νάουσας.</w:t>
      </w:r>
    </w:p>
    <w:p w:rsidR="00D44F22" w:rsidRDefault="00D44F22" w:rsidP="00D44F22">
      <w:pPr>
        <w:jc w:val="both"/>
        <w:rPr>
          <w:rFonts w:asciiTheme="minorHAnsi" w:hAnsiTheme="minorHAnsi" w:cstheme="minorHAnsi"/>
        </w:rPr>
      </w:pPr>
    </w:p>
    <w:p w:rsidR="00D44F22" w:rsidRDefault="00D44F22" w:rsidP="00D44F22">
      <w:pPr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Σύμφωνα με την υπ’ αρ. ΔΙΠΑΑΔ/Φ. ΕΓΚΡ./104/13657/16-07-2020, απόφαση έγκρισης της Επιτροπής της παρ. 1 του άρθρου 2 της με αρ. 33/2006/ΠΥΣ (Φ.Ε.Κ. 280Α’), οι εγκριθείσες θέσεις τακτικού προσωπικού, στον προγραμματισμό προσλήψεων 2020, είναι</w:t>
      </w:r>
      <w:r w:rsidRPr="004A354C">
        <w:rPr>
          <w:rFonts w:asciiTheme="minorHAnsi" w:hAnsiTheme="minorHAnsi" w:cstheme="minorHAnsi"/>
        </w:rPr>
        <w:t>:</w:t>
      </w:r>
    </w:p>
    <w:p w:rsidR="00D44F22" w:rsidRDefault="00D44F22" w:rsidP="00D44F2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ΠΕ Τοπογράφων Μη/κών 1 θέση για την Διεύθυνση Τεχνικών Υπηρεσιών.</w:t>
      </w:r>
    </w:p>
    <w:p w:rsidR="00D44F22" w:rsidRDefault="00D44F22" w:rsidP="00D44F2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ΠΕ Μηχανολόγων Μηχανικών 1 θέση για την Διεύθυνση Τεχνικών Υπηρεσιών.</w:t>
      </w:r>
    </w:p>
    <w:p w:rsidR="00D44F22" w:rsidRDefault="00D44F22" w:rsidP="00D44F2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ΤΕ Μηχανικών Πολιτικών Δομικών Έργων 1 θέση για την Διεύθυνση Πολεοδομίας.</w:t>
      </w:r>
    </w:p>
    <w:p w:rsidR="00D44F22" w:rsidRDefault="00D44F22" w:rsidP="00D44F22">
      <w:pPr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Για τις ανωτέρω θέσεις καλούνται οι Δήμοι να προσδιορίσουν με απόφαση Οικονομικής Επιτροπής πρόσθετα προσόντα όπως μεταπτυχιακούς τίτλους σπουδών, ξένη γλώσσα, άδεια άσκησης επαγγέλματος, γνώση χειρισμού </w:t>
      </w:r>
      <w:r>
        <w:rPr>
          <w:rFonts w:asciiTheme="minorHAnsi" w:hAnsiTheme="minorHAnsi" w:cstheme="minorHAnsi"/>
          <w:lang w:val="en-US"/>
        </w:rPr>
        <w:t>H</w:t>
      </w:r>
      <w:r w:rsidRPr="00EE0B0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lang w:val="en-US"/>
        </w:rPr>
        <w:t>Y</w:t>
      </w:r>
      <w:r w:rsidRPr="00EE0B00">
        <w:rPr>
          <w:rFonts w:asciiTheme="minorHAnsi" w:hAnsiTheme="minorHAnsi" w:cstheme="minorHAnsi"/>
        </w:rPr>
        <w:t>.</w:t>
      </w:r>
    </w:p>
    <w:p w:rsidR="00D44F22" w:rsidRDefault="00D44F22" w:rsidP="00D44F22">
      <w:pPr>
        <w:ind w:firstLine="420"/>
        <w:jc w:val="both"/>
        <w:rPr>
          <w:rFonts w:asciiTheme="minorHAnsi" w:hAnsiTheme="minorHAnsi" w:cstheme="minorHAnsi"/>
        </w:rPr>
      </w:pPr>
      <w:r w:rsidRPr="00D44F22">
        <w:rPr>
          <w:rFonts w:asciiTheme="minorHAnsi" w:hAnsiTheme="minorHAnsi" w:cstheme="minorHAnsi"/>
          <w:b/>
        </w:rPr>
        <w:t>Για την θέση:</w:t>
      </w:r>
      <w:r>
        <w:rPr>
          <w:rFonts w:asciiTheme="minorHAnsi" w:hAnsiTheme="minorHAnsi" w:cstheme="minorHAnsi"/>
        </w:rPr>
        <w:t xml:space="preserve"> ΤΕ Μηχανικών Πολιτικών Δομικών Έργων της Δ/νσης Πολεοδομίας, με την από 29/10/2020 εισήγηση του Δ/ντού της, προτείνονται τα παρακάτω πρόσθετα προσόντα τα οποία κρίνονται απαραίτητα για την αποδοτικότερη λειτουργία του νευραλγικού τμήματος Έκδοσης Οικοδομικών Αδειών.</w:t>
      </w:r>
    </w:p>
    <w:p w:rsidR="00D44F22" w:rsidRDefault="00D44F22" w:rsidP="00D44F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844"/>
        <w:gridCol w:w="4933"/>
      </w:tblGrid>
      <w:tr w:rsidR="00D44F22" w:rsidRPr="00EE0B00" w:rsidTr="001909D8">
        <w:tc>
          <w:tcPr>
            <w:tcW w:w="445" w:type="dxa"/>
            <w:shd w:val="clear" w:color="auto" w:fill="auto"/>
          </w:tcPr>
          <w:p w:rsidR="00D44F22" w:rsidRPr="00EE0B00" w:rsidRDefault="00D44F22" w:rsidP="001909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Α/Α</w:t>
            </w:r>
          </w:p>
        </w:tc>
        <w:tc>
          <w:tcPr>
            <w:tcW w:w="2891" w:type="dxa"/>
            <w:shd w:val="clear" w:color="auto" w:fill="auto"/>
          </w:tcPr>
          <w:p w:rsidR="00D44F22" w:rsidRPr="00EE0B00" w:rsidRDefault="00D44F22" w:rsidP="001909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Ειδικότητα</w:t>
            </w:r>
          </w:p>
        </w:tc>
        <w:tc>
          <w:tcPr>
            <w:tcW w:w="5028" w:type="dxa"/>
            <w:shd w:val="clear" w:color="auto" w:fill="auto"/>
          </w:tcPr>
          <w:p w:rsidR="00D44F22" w:rsidRPr="00EE0B00" w:rsidRDefault="00D44F22" w:rsidP="001909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Πρόσθετα προσόντα</w:t>
            </w:r>
          </w:p>
        </w:tc>
      </w:tr>
      <w:tr w:rsidR="00D44F22" w:rsidRPr="00EE0B00" w:rsidTr="001909D8">
        <w:trPr>
          <w:trHeight w:val="557"/>
        </w:trPr>
        <w:tc>
          <w:tcPr>
            <w:tcW w:w="445" w:type="dxa"/>
            <w:shd w:val="clear" w:color="auto" w:fill="auto"/>
          </w:tcPr>
          <w:p w:rsidR="00D44F22" w:rsidRPr="00EE0B00" w:rsidRDefault="00D44F22" w:rsidP="001909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D44F22" w:rsidRPr="00EE0B00" w:rsidRDefault="00D44F22" w:rsidP="001909D8">
            <w:pPr>
              <w:suppressAutoHyphens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ΤΕ </w:t>
            </w: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Μηχανικών Πολιτικών Δομικών Έργων.</w:t>
            </w:r>
          </w:p>
          <w:p w:rsidR="00D44F22" w:rsidRPr="00EE0B00" w:rsidRDefault="00D44F22" w:rsidP="001909D8">
            <w:pPr>
              <w:suppressAutoHyphens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Κατηγορία</w:t>
            </w:r>
          </w:p>
          <w:p w:rsidR="00D44F22" w:rsidRPr="00EE0B00" w:rsidRDefault="00D44F22" w:rsidP="001909D8">
            <w:pPr>
              <w:suppressAutoHyphens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</w:p>
        </w:tc>
        <w:tc>
          <w:tcPr>
            <w:tcW w:w="5028" w:type="dxa"/>
            <w:shd w:val="clear" w:color="auto" w:fill="auto"/>
          </w:tcPr>
          <w:p w:rsidR="00D44F22" w:rsidRPr="00EE0B00" w:rsidRDefault="00D44F22" w:rsidP="001909D8">
            <w:pPr>
              <w:suppressAutoHyphens/>
              <w:jc w:val="both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Α) Μεταπτυχιακός τίτλος σπουδών, ετήσιας τουλάχιστον διάρκειας , συναφής με το αντικείμενο του Τμήματος Έκδοσης Οικοδομικών Αδειών   Β) Πολύ  καλή γνώση της Αγγλικής γλώσσας Γ) Γνώση χειρισμού Η/Υ στα αντικείμενα: α)επεξεργασίας κ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ειμένου, β)υπολογιστικών φύλλων </w:t>
            </w: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γ)υπηρεσιών διαδικτύου και δ)γνώση σχεδιαστικού </w:t>
            </w: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lastRenderedPageBreak/>
              <w:t>προγράμματος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 </w:t>
            </w:r>
            <w:proofErr w:type="spellStart"/>
            <w:r w:rsidRPr="00EE0B00">
              <w:rPr>
                <w:rFonts w:asciiTheme="minorHAnsi" w:hAnsiTheme="minorHAnsi" w:cstheme="minorHAnsi"/>
                <w:bCs/>
                <w:color w:val="333333"/>
                <w:lang w:val="en-US" w:eastAsia="ar-SA"/>
              </w:rPr>
              <w:t>autocad</w:t>
            </w:r>
            <w:proofErr w:type="spellEnd"/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 </w:t>
            </w: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Τα ανωτέρω προσόντα κρίνονται απαραίτητα για την αποδοτικότερη λειτουργία του  νευραλγικού Τμήματος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 της Έκδοσης Οικοδομικών Αδειών</w:t>
            </w:r>
            <w:r w:rsidRPr="00EE0B00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.</w:t>
            </w:r>
          </w:p>
          <w:p w:rsidR="00D44F22" w:rsidRPr="00EE0B00" w:rsidRDefault="00D44F22" w:rsidP="001909D8">
            <w:pPr>
              <w:suppressAutoHyphens/>
              <w:jc w:val="both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</w:p>
        </w:tc>
      </w:tr>
    </w:tbl>
    <w:p w:rsidR="00462E16" w:rsidRDefault="00462E16"/>
    <w:p w:rsidR="00D44F22" w:rsidRPr="00D44F22" w:rsidRDefault="00D44F22" w:rsidP="00D44F22">
      <w:pPr>
        <w:ind w:firstLine="720"/>
        <w:jc w:val="both"/>
        <w:rPr>
          <w:rFonts w:asciiTheme="minorHAnsi" w:hAnsiTheme="minorHAnsi" w:cstheme="minorHAnsi"/>
        </w:rPr>
      </w:pPr>
      <w:r w:rsidRPr="00D44F22">
        <w:rPr>
          <w:rFonts w:asciiTheme="minorHAnsi" w:hAnsiTheme="minorHAnsi" w:cstheme="minorHAnsi"/>
          <w:b/>
        </w:rPr>
        <w:t>Για τις θέσεις</w:t>
      </w:r>
      <w:r w:rsidRPr="00D44F2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ΠΕ Τοπογράφων </w:t>
      </w:r>
      <w:proofErr w:type="spellStart"/>
      <w:r>
        <w:rPr>
          <w:rFonts w:asciiTheme="minorHAnsi" w:hAnsiTheme="minorHAnsi" w:cstheme="minorHAnsi"/>
        </w:rPr>
        <w:t>Μηχ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κων</w:t>
      </w:r>
      <w:proofErr w:type="spellEnd"/>
      <w:r>
        <w:rPr>
          <w:rFonts w:asciiTheme="minorHAnsi" w:hAnsiTheme="minorHAnsi" w:cstheme="minorHAnsi"/>
        </w:rPr>
        <w:t xml:space="preserve"> και ΠΕ Μηχανολόγων </w:t>
      </w:r>
      <w:proofErr w:type="spellStart"/>
      <w:r>
        <w:rPr>
          <w:rFonts w:asciiTheme="minorHAnsi" w:hAnsiTheme="minorHAnsi" w:cstheme="minorHAnsi"/>
        </w:rPr>
        <w:t>Μηχ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κων</w:t>
      </w:r>
      <w:proofErr w:type="spellEnd"/>
      <w:r>
        <w:rPr>
          <w:rFonts w:asciiTheme="minorHAnsi" w:hAnsiTheme="minorHAnsi" w:cstheme="minorHAnsi"/>
        </w:rPr>
        <w:t xml:space="preserve"> της Διεύθυνσης Τεχνικών Υπηρεσιών, προτείνονται από την Δ/νσή της τα παρακάτω πρόσθετα προσόντα</w:t>
      </w:r>
      <w:r w:rsidRPr="00D44F22">
        <w:rPr>
          <w:rFonts w:asciiTheme="minorHAnsi" w:hAnsiTheme="minorHAnsi" w:cstheme="minorHAnsi"/>
        </w:rPr>
        <w:t>:</w:t>
      </w:r>
    </w:p>
    <w:p w:rsidR="00D44F22" w:rsidRDefault="00D44F22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891"/>
        <w:gridCol w:w="5028"/>
      </w:tblGrid>
      <w:tr w:rsidR="00D44F22" w:rsidRPr="00EE0B00" w:rsidTr="001909D8">
        <w:trPr>
          <w:trHeight w:val="557"/>
        </w:trPr>
        <w:tc>
          <w:tcPr>
            <w:tcW w:w="445" w:type="dxa"/>
            <w:shd w:val="clear" w:color="auto" w:fill="auto"/>
          </w:tcPr>
          <w:p w:rsidR="00D44F22" w:rsidRPr="00D44F22" w:rsidRDefault="00D44F22" w:rsidP="001909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D44F22" w:rsidRPr="002F46A4" w:rsidRDefault="00D44F22" w:rsidP="001909D8">
            <w:pPr>
              <w:suppressAutoHyphens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ΠΕ Τοπογράφων Μηχανικών</w:t>
            </w:r>
          </w:p>
        </w:tc>
        <w:tc>
          <w:tcPr>
            <w:tcW w:w="5028" w:type="dxa"/>
            <w:shd w:val="clear" w:color="auto" w:fill="auto"/>
          </w:tcPr>
          <w:p w:rsidR="00D44F22" w:rsidRPr="002F46A4" w:rsidRDefault="00D44F22" w:rsidP="001909D8">
            <w:pPr>
              <w:suppressAutoHyphens/>
              <w:jc w:val="both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Α) Γνώση χειρισμού Η/Υ στα αντικείμενα</w:t>
            </w:r>
            <w:r w:rsidRPr="002F46A4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 (α) επεξεργασίας κειμένου, (β) υπολογιστικών φύλλων και (γ) υπηρεσιών διαδικτύου, Β) Άδεια άσκησης επαγγέλματος, Γ) Μεταπτυχιακός τίτλος σπουδών ετήσιας τουλάχιστον διάρκειας, Δ) Πολύ καλή γνώση της Αγγλικής Γλώσσας.</w:t>
            </w:r>
          </w:p>
        </w:tc>
      </w:tr>
      <w:tr w:rsidR="00D44F22" w:rsidRPr="00EE0B00" w:rsidTr="001909D8">
        <w:trPr>
          <w:trHeight w:val="557"/>
        </w:trPr>
        <w:tc>
          <w:tcPr>
            <w:tcW w:w="445" w:type="dxa"/>
            <w:shd w:val="clear" w:color="auto" w:fill="auto"/>
          </w:tcPr>
          <w:p w:rsidR="00D44F22" w:rsidRPr="00787017" w:rsidRDefault="00D44F22" w:rsidP="001909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D44F22" w:rsidRDefault="00D44F22" w:rsidP="001909D8">
            <w:pPr>
              <w:suppressAutoHyphens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ΠΕ Μηχανολόγων Μηχανικών</w:t>
            </w:r>
          </w:p>
        </w:tc>
        <w:tc>
          <w:tcPr>
            <w:tcW w:w="5028" w:type="dxa"/>
            <w:shd w:val="clear" w:color="auto" w:fill="auto"/>
          </w:tcPr>
          <w:p w:rsidR="00D44F22" w:rsidRDefault="00D44F22" w:rsidP="001909D8">
            <w:pPr>
              <w:suppressAutoHyphens/>
              <w:jc w:val="both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Α) Γνώση χειρισμού Η/Υ στα αντικείμενα</w:t>
            </w:r>
            <w:r w:rsidRPr="002F46A4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: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 (α) επεξεργασίας κειμένου, (β) υπολογιστικών φύλλων και (γ) υπηρεσιών διαδικτύου. Β) Άδεια άσκησης επαγγέλματος, Γ) Μεταπτυχιακός τίτλος σπουδών ετήσιας τουλάχιστον διάρκειας</w:t>
            </w:r>
            <w:r w:rsidR="00F271C9"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 xml:space="preserve"> συναφής με το αντικείμενο του Ηλεκτρομηχανολογικού τμήματος</w:t>
            </w:r>
            <w:r>
              <w:rPr>
                <w:rFonts w:asciiTheme="minorHAnsi" w:hAnsiTheme="minorHAnsi" w:cstheme="minorHAnsi"/>
                <w:bCs/>
                <w:color w:val="333333"/>
                <w:lang w:eastAsia="ar-SA"/>
              </w:rPr>
              <w:t>, Δ) Πολύ καλή γνώση της Αγγλικής Γλώσσας.</w:t>
            </w:r>
          </w:p>
          <w:p w:rsidR="00D44F22" w:rsidRDefault="00D44F22" w:rsidP="001909D8">
            <w:pPr>
              <w:suppressAutoHyphens/>
              <w:jc w:val="both"/>
              <w:rPr>
                <w:rFonts w:asciiTheme="minorHAnsi" w:hAnsiTheme="minorHAnsi" w:cstheme="minorHAnsi"/>
                <w:bCs/>
                <w:color w:val="333333"/>
                <w:lang w:eastAsia="ar-SA"/>
              </w:rPr>
            </w:pPr>
          </w:p>
        </w:tc>
      </w:tr>
    </w:tbl>
    <w:p w:rsidR="00D44F22" w:rsidRDefault="00D44F22" w:rsidP="00D44F22">
      <w:pPr>
        <w:jc w:val="both"/>
        <w:rPr>
          <w:rFonts w:asciiTheme="minorHAnsi" w:hAnsiTheme="minorHAnsi" w:cstheme="minorHAnsi"/>
        </w:rPr>
      </w:pPr>
    </w:p>
    <w:p w:rsidR="00D44F22" w:rsidRPr="004A354C" w:rsidRDefault="00D44F22" w:rsidP="00D44F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Καταληκτική προθεσμία ανάρτησης των ανωτέρων στοιχείων στον διαδικτυακό τόπο του Υπουργείου Εσωτερικών ορίστηκε με το από 27/10/2020 με αρ. </w:t>
      </w:r>
      <w:proofErr w:type="spellStart"/>
      <w:r>
        <w:rPr>
          <w:rFonts w:asciiTheme="minorHAnsi" w:hAnsiTheme="minorHAnsi" w:cstheme="minorHAnsi"/>
        </w:rPr>
        <w:t>πρ</w:t>
      </w:r>
      <w:proofErr w:type="spellEnd"/>
      <w:r>
        <w:rPr>
          <w:rFonts w:asciiTheme="minorHAnsi" w:hAnsiTheme="minorHAnsi" w:cstheme="minorHAnsi"/>
        </w:rPr>
        <w:t>. 71274 έγγραφο του Υπουργείου Εσωτερικών η 06/11/2020.</w:t>
      </w:r>
    </w:p>
    <w:p w:rsidR="00D44F22" w:rsidRDefault="00D44F22"/>
    <w:sectPr w:rsidR="00D44F22" w:rsidSect="00462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BAB"/>
    <w:multiLevelType w:val="hybridMultilevel"/>
    <w:tmpl w:val="4978CD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F22"/>
    <w:rsid w:val="001909D8"/>
    <w:rsid w:val="00462E16"/>
    <w:rsid w:val="008024A7"/>
    <w:rsid w:val="0081664A"/>
    <w:rsid w:val="00891FF5"/>
    <w:rsid w:val="008F2323"/>
    <w:rsid w:val="00D44BA1"/>
    <w:rsid w:val="00D44F22"/>
    <w:rsid w:val="00D85E89"/>
    <w:rsid w:val="00E27731"/>
    <w:rsid w:val="00F271C9"/>
    <w:rsid w:val="00F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4F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4F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ous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ds2</cp:lastModifiedBy>
  <cp:revision>2</cp:revision>
  <cp:lastPrinted>2020-10-30T08:35:00Z</cp:lastPrinted>
  <dcterms:created xsi:type="dcterms:W3CDTF">2020-10-30T12:34:00Z</dcterms:created>
  <dcterms:modified xsi:type="dcterms:W3CDTF">2020-10-30T12:34:00Z</dcterms:modified>
</cp:coreProperties>
</file>